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2F1BF" w14:textId="197B786A" w:rsidR="00DF06E3" w:rsidRPr="00DF06E3" w:rsidRDefault="00DF06E3" w:rsidP="00DF06E3">
      <w:pPr>
        <w:shd w:val="clear" w:color="auto" w:fill="FFFFFF"/>
        <w:rPr>
          <w:rFonts w:ascii="Arial" w:eastAsia="Times New Roman" w:hAnsi="Arial" w:cs="Arial"/>
          <w:color w:val="010101"/>
        </w:rPr>
      </w:pPr>
      <w:r w:rsidRPr="00DF06E3">
        <w:rPr>
          <w:rFonts w:ascii="Arial" w:eastAsia="Times New Roman" w:hAnsi="Arial" w:cs="Arial"/>
          <w:noProof/>
          <w:color w:val="DD3333"/>
        </w:rPr>
        <w:drawing>
          <wp:inline distT="0" distB="0" distL="0" distR="0" wp14:anchorId="7826D503" wp14:editId="127123EA">
            <wp:extent cx="5943600" cy="3343275"/>
            <wp:effectExtent l="0" t="0" r="0" b="0"/>
            <wp:docPr id="4" name="Picture 4" descr="Note of concer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of concer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2B10D7E"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Open letter to DY Logunov et al., authors of:</w:t>
      </w:r>
    </w:p>
    <w:p w14:paraId="1D5F8433"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b/>
          <w:bCs/>
          <w:color w:val="010101"/>
        </w:rPr>
        <w:t>“Safety and immunogenicity of an rAd26 and rAd5 vector-based heterologous prime-boost COVID-19 vaccine in two formulations: two open, non-randomised phase 1/2 studies from Russia.” Lancet. 2020;0(0). doi:10.1016/S0140-6736(20)31866-3</w:t>
      </w:r>
    </w:p>
    <w:p w14:paraId="745F61CE"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Available at:</w:t>
      </w:r>
    </w:p>
    <w:p w14:paraId="0A380E68" w14:textId="77777777" w:rsidR="00DF06E3" w:rsidRPr="00DF06E3" w:rsidRDefault="00DF06E3" w:rsidP="00DF06E3">
      <w:pPr>
        <w:shd w:val="clear" w:color="auto" w:fill="FFFFFF"/>
        <w:spacing w:after="240"/>
        <w:rPr>
          <w:rFonts w:ascii="Arial" w:eastAsia="Times New Roman" w:hAnsi="Arial" w:cs="Arial"/>
          <w:color w:val="010101"/>
        </w:rPr>
      </w:pPr>
      <w:hyperlink r:id="rId6" w:history="1">
        <w:r w:rsidRPr="00DF06E3">
          <w:rPr>
            <w:rFonts w:ascii="Arial" w:eastAsia="Times New Roman" w:hAnsi="Arial" w:cs="Arial"/>
            <w:color w:val="FF3D00"/>
            <w:u w:val="single"/>
          </w:rPr>
          <w:t>https://www.thelancet.com/journals/lancet/article/PIIS0140-6736(20)31866-3/fulltext</w:t>
        </w:r>
      </w:hyperlink>
    </w:p>
    <w:p w14:paraId="238D54EB"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and to Richard Horton (editor of The Lancet).</w:t>
      </w:r>
    </w:p>
    <w:p w14:paraId="7FFF8A7E"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OBJECT.</w:t>
      </w:r>
    </w:p>
    <w:p w14:paraId="0970FCC9"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The study reports the results of a phase 1/2 study on an adenovirus-based vaccine, using Ad5 and Ad26 vectors for the spike protein of SARS-CoV-2 as antigen, and two different formulations (liquid and lyophilized).</w:t>
      </w:r>
    </w:p>
    <w:p w14:paraId="4E9E6BFB"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During the current pandemic, the extreme public interest and expectations for an effective vaccine are understandable. However, the very same reasons should motivate the scientific community to pay even more attention to the scientific evidence and the underlying data, and it is thus of utmost importance that they are fully available for close scrutiny. Numerical data for all the experiments and original FACS files in fcs format, for example, would be of great help in evaluating the present study, enabling direct reproduction of  all analyses and findings, rather than trying to do so from data abstracted or inferred from the figures.</w:t>
      </w:r>
      <w:r w:rsidRPr="00DF06E3">
        <w:rPr>
          <w:rFonts w:ascii="Arial" w:eastAsia="Times New Roman" w:hAnsi="Arial" w:cs="Arial"/>
          <w:color w:val="010101"/>
        </w:rPr>
        <w:br/>
        <w:t xml:space="preserve">While the research described in this study is potentially significant, the presentation of </w:t>
      </w:r>
      <w:r w:rsidRPr="00DF06E3">
        <w:rPr>
          <w:rFonts w:ascii="Arial" w:eastAsia="Times New Roman" w:hAnsi="Arial" w:cs="Arial"/>
          <w:color w:val="010101"/>
        </w:rPr>
        <w:lastRenderedPageBreak/>
        <w:t>the data raises several concerns which require access to the original data to fully investigate. These are detailed below.</w:t>
      </w:r>
    </w:p>
    <w:p w14:paraId="2EA16888"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POTENTIAL DATA INCONSISTENCIES IN FIGURES 2, 3 AND 4.</w:t>
      </w:r>
    </w:p>
    <w:p w14:paraId="0133F5EA"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In </w:t>
      </w:r>
      <w:r w:rsidRPr="00DF06E3">
        <w:rPr>
          <w:rFonts w:ascii="Arial" w:eastAsia="Times New Roman" w:hAnsi="Arial" w:cs="Arial"/>
          <w:b/>
          <w:bCs/>
          <w:color w:val="010101"/>
        </w:rPr>
        <w:t>figure 2</w:t>
      </w:r>
      <w:r w:rsidRPr="00DF06E3">
        <w:rPr>
          <w:rFonts w:ascii="Arial" w:eastAsia="Times New Roman" w:hAnsi="Arial" w:cs="Arial"/>
          <w:color w:val="010101"/>
        </w:rPr>
        <w:t>, the authors report the reciprocal titre of RBD IgG and neutralizing antibodies at different time points, for all the patient groups (challenged with different formulations).</w:t>
      </w:r>
      <w:r w:rsidRPr="00DF06E3">
        <w:rPr>
          <w:rFonts w:ascii="Arial" w:eastAsia="Times New Roman" w:hAnsi="Arial" w:cs="Arial"/>
          <w:color w:val="010101"/>
        </w:rPr>
        <w:br/>
        <w:t>As evident by the following reproduction, there are several data patterns which appear repeatedly for the reported experiments. To this end, connecting measurements for each individual across time points would be highly beneficial in reporting (and hence) interpreting the results. This suggestion also applies to similar measurements in the other manuscript figures.</w:t>
      </w:r>
    </w:p>
    <w:p w14:paraId="416DB094" w14:textId="39099267" w:rsidR="00DF06E3" w:rsidRPr="00DF06E3" w:rsidRDefault="00DF06E3" w:rsidP="00DF06E3">
      <w:pPr>
        <w:shd w:val="clear" w:color="auto" w:fill="FFFFFF"/>
        <w:rPr>
          <w:rFonts w:ascii="Arial" w:eastAsia="Times New Roman" w:hAnsi="Arial" w:cs="Arial"/>
          <w:color w:val="010101"/>
        </w:rPr>
      </w:pPr>
      <w:r w:rsidRPr="00DF06E3">
        <w:rPr>
          <w:rFonts w:ascii="Arial" w:eastAsia="Times New Roman" w:hAnsi="Arial" w:cs="Arial"/>
          <w:color w:val="010101"/>
        </w:rPr>
        <w:fldChar w:fldCharType="begin"/>
      </w:r>
      <w:r w:rsidRPr="00DF06E3">
        <w:rPr>
          <w:rFonts w:ascii="Arial" w:eastAsia="Times New Roman" w:hAnsi="Arial" w:cs="Arial"/>
          <w:color w:val="010101"/>
        </w:rPr>
        <w:instrText xml:space="preserve"> INCLUDEPICTURE "https://i0.wp.com/cattiviscienziati.com/wp-content/uploads/2020/09/image.png?resize=577%2C330&amp;ssl=1" \* MERGEFORMATINET </w:instrText>
      </w:r>
      <w:r w:rsidRPr="00DF06E3">
        <w:rPr>
          <w:rFonts w:ascii="Arial" w:eastAsia="Times New Roman" w:hAnsi="Arial" w:cs="Arial"/>
          <w:color w:val="010101"/>
        </w:rPr>
        <w:fldChar w:fldCharType="separate"/>
      </w:r>
      <w:r w:rsidRPr="00DF06E3">
        <w:rPr>
          <w:rFonts w:ascii="Arial" w:eastAsia="Times New Roman" w:hAnsi="Arial" w:cs="Arial"/>
          <w:noProof/>
          <w:color w:val="010101"/>
        </w:rPr>
        <w:drawing>
          <wp:inline distT="0" distB="0" distL="0" distR="0" wp14:anchorId="04C6CBAE" wp14:editId="651D887A">
            <wp:extent cx="5943600" cy="3401060"/>
            <wp:effectExtent l="0" t="0" r="0" b="254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01060"/>
                    </a:xfrm>
                    <a:prstGeom prst="rect">
                      <a:avLst/>
                    </a:prstGeom>
                    <a:noFill/>
                    <a:ln>
                      <a:noFill/>
                    </a:ln>
                  </pic:spPr>
                </pic:pic>
              </a:graphicData>
            </a:graphic>
          </wp:inline>
        </w:drawing>
      </w:r>
      <w:r w:rsidRPr="00DF06E3">
        <w:rPr>
          <w:rFonts w:ascii="Arial" w:eastAsia="Times New Roman" w:hAnsi="Arial" w:cs="Arial"/>
          <w:color w:val="010101"/>
        </w:rPr>
        <w:fldChar w:fldCharType="end"/>
      </w:r>
    </w:p>
    <w:p w14:paraId="281BFBCE"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br/>
        <w:t>In the red boxes, 9 out of 9 volunteers challenged with rAd26-S appear to have identical antibody titres at 21 and 28 days; this is also true for 7 out of 9 volunteers challenged with rAd5-S (yellow boxes). Furthermore, in the cyan boxes we can see all the experimental points differing for a constant value in two completely unrelated experiments; and 8 out of 9 experimental points are completely preserved among other two completely unrelated volunteer groups (green boxes).</w:t>
      </w:r>
    </w:p>
    <w:p w14:paraId="5497CB34"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While we understand that in this case the variable under study is discrete (representing the reciprocal of a dilution), still it seems to us that on the ground of simple probabilistic evaluations the fact of observing so many data points preserved among different experiments is highly unlikely.</w:t>
      </w:r>
    </w:p>
    <w:p w14:paraId="5E5B5AA9"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For </w:t>
      </w:r>
      <w:r w:rsidRPr="00DF06E3">
        <w:rPr>
          <w:rFonts w:ascii="Arial" w:eastAsia="Times New Roman" w:hAnsi="Arial" w:cs="Arial"/>
          <w:b/>
          <w:bCs/>
          <w:color w:val="010101"/>
        </w:rPr>
        <w:t>figure 3</w:t>
      </w:r>
      <w:r w:rsidRPr="00DF06E3">
        <w:rPr>
          <w:rFonts w:ascii="Arial" w:eastAsia="Times New Roman" w:hAnsi="Arial" w:cs="Arial"/>
          <w:color w:val="010101"/>
        </w:rPr>
        <w:t xml:space="preserve">, intended to present the results of the cellular response to the different formulations used for challenging the volunteers, in the following reproduction repeated </w:t>
      </w:r>
      <w:r w:rsidRPr="00DF06E3">
        <w:rPr>
          <w:rFonts w:ascii="Arial" w:eastAsia="Times New Roman" w:hAnsi="Arial" w:cs="Arial"/>
          <w:color w:val="010101"/>
        </w:rPr>
        <w:lastRenderedPageBreak/>
        <w:t>experimental point patterns are boxed with the same colours as in the previous case, with an important difference: in this case, the variable under study (cell proliferation %) is continuous in nature, rendering the coincidence of data points among different experiments even less likely.</w:t>
      </w:r>
    </w:p>
    <w:p w14:paraId="71B1FE40" w14:textId="52366F5E" w:rsidR="00DF06E3" w:rsidRPr="00DF06E3" w:rsidRDefault="00DF06E3" w:rsidP="00DF06E3">
      <w:pPr>
        <w:shd w:val="clear" w:color="auto" w:fill="FFFFFF"/>
        <w:rPr>
          <w:rFonts w:ascii="Arial" w:eastAsia="Times New Roman" w:hAnsi="Arial" w:cs="Arial"/>
          <w:color w:val="010101"/>
        </w:rPr>
      </w:pPr>
      <w:r w:rsidRPr="00DF06E3">
        <w:rPr>
          <w:rFonts w:ascii="Arial" w:eastAsia="Times New Roman" w:hAnsi="Arial" w:cs="Arial"/>
          <w:color w:val="010101"/>
        </w:rPr>
        <w:fldChar w:fldCharType="begin"/>
      </w:r>
      <w:r w:rsidRPr="00DF06E3">
        <w:rPr>
          <w:rFonts w:ascii="Arial" w:eastAsia="Times New Roman" w:hAnsi="Arial" w:cs="Arial"/>
          <w:color w:val="010101"/>
        </w:rPr>
        <w:instrText xml:space="preserve"> INCLUDEPICTURE "https://i0.wp.com/cattiviscienziati.com/wp-content/uploads/2020/09/image-1.png?resize=640%2C435&amp;ssl=1" \* MERGEFORMATINET </w:instrText>
      </w:r>
      <w:r w:rsidRPr="00DF06E3">
        <w:rPr>
          <w:rFonts w:ascii="Arial" w:eastAsia="Times New Roman" w:hAnsi="Arial" w:cs="Arial"/>
          <w:color w:val="010101"/>
        </w:rPr>
        <w:fldChar w:fldCharType="separate"/>
      </w:r>
      <w:r w:rsidRPr="00DF06E3">
        <w:rPr>
          <w:rFonts w:ascii="Arial" w:eastAsia="Times New Roman" w:hAnsi="Arial" w:cs="Arial"/>
          <w:noProof/>
          <w:color w:val="010101"/>
        </w:rPr>
        <w:drawing>
          <wp:inline distT="0" distB="0" distL="0" distR="0" wp14:anchorId="598081CA" wp14:editId="63F89343">
            <wp:extent cx="5943600" cy="4043045"/>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43045"/>
                    </a:xfrm>
                    <a:prstGeom prst="rect">
                      <a:avLst/>
                    </a:prstGeom>
                    <a:noFill/>
                    <a:ln>
                      <a:noFill/>
                    </a:ln>
                  </pic:spPr>
                </pic:pic>
              </a:graphicData>
            </a:graphic>
          </wp:inline>
        </w:drawing>
      </w:r>
      <w:r w:rsidRPr="00DF06E3">
        <w:rPr>
          <w:rFonts w:ascii="Arial" w:eastAsia="Times New Roman" w:hAnsi="Arial" w:cs="Arial"/>
          <w:color w:val="010101"/>
        </w:rPr>
        <w:fldChar w:fldCharType="end"/>
      </w:r>
    </w:p>
    <w:p w14:paraId="5473DCED"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For </w:t>
      </w:r>
      <w:r w:rsidRPr="00DF06E3">
        <w:rPr>
          <w:rFonts w:ascii="Arial" w:eastAsia="Times New Roman" w:hAnsi="Arial" w:cs="Arial"/>
          <w:b/>
          <w:bCs/>
          <w:color w:val="010101"/>
        </w:rPr>
        <w:t>figure 4</w:t>
      </w:r>
      <w:r w:rsidRPr="00DF06E3">
        <w:rPr>
          <w:rFonts w:ascii="Arial" w:eastAsia="Times New Roman" w:hAnsi="Arial" w:cs="Arial"/>
          <w:color w:val="010101"/>
        </w:rPr>
        <w:t>, which is intended to show the neutralizing antibody formation against the adenovirus vectors used for the vaccine, problems like those observed for figure 2 are again apparent. The coloured boxes in the following reproduction are to be intended as in the previous cases.</w:t>
      </w:r>
    </w:p>
    <w:p w14:paraId="7BEF5DB7" w14:textId="6925037D" w:rsidR="00DF06E3" w:rsidRPr="00DF06E3" w:rsidRDefault="00DF06E3" w:rsidP="00DF06E3">
      <w:pPr>
        <w:shd w:val="clear" w:color="auto" w:fill="FFFFFF"/>
        <w:rPr>
          <w:rFonts w:ascii="Arial" w:eastAsia="Times New Roman" w:hAnsi="Arial" w:cs="Arial"/>
          <w:color w:val="010101"/>
        </w:rPr>
      </w:pPr>
      <w:r w:rsidRPr="00DF06E3">
        <w:rPr>
          <w:rFonts w:ascii="Arial" w:eastAsia="Times New Roman" w:hAnsi="Arial" w:cs="Arial"/>
          <w:color w:val="010101"/>
        </w:rPr>
        <w:lastRenderedPageBreak/>
        <w:fldChar w:fldCharType="begin"/>
      </w:r>
      <w:r w:rsidRPr="00DF06E3">
        <w:rPr>
          <w:rFonts w:ascii="Arial" w:eastAsia="Times New Roman" w:hAnsi="Arial" w:cs="Arial"/>
          <w:color w:val="010101"/>
        </w:rPr>
        <w:instrText xml:space="preserve"> INCLUDEPICTURE "https://i2.wp.com/cattiviscienziati.com/wp-content/uploads/2020/09/image-2.png?resize=634%2C302&amp;ssl=1" \* MERGEFORMATINET </w:instrText>
      </w:r>
      <w:r w:rsidRPr="00DF06E3">
        <w:rPr>
          <w:rFonts w:ascii="Arial" w:eastAsia="Times New Roman" w:hAnsi="Arial" w:cs="Arial"/>
          <w:color w:val="010101"/>
        </w:rPr>
        <w:fldChar w:fldCharType="separate"/>
      </w:r>
      <w:r w:rsidRPr="00DF06E3">
        <w:rPr>
          <w:rFonts w:ascii="Arial" w:eastAsia="Times New Roman" w:hAnsi="Arial" w:cs="Arial"/>
          <w:noProof/>
          <w:color w:val="010101"/>
        </w:rPr>
        <w:drawing>
          <wp:inline distT="0" distB="0" distL="0" distR="0" wp14:anchorId="32000956" wp14:editId="67F62637">
            <wp:extent cx="5943600" cy="2831465"/>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31465"/>
                    </a:xfrm>
                    <a:prstGeom prst="rect">
                      <a:avLst/>
                    </a:prstGeom>
                    <a:noFill/>
                    <a:ln>
                      <a:noFill/>
                    </a:ln>
                  </pic:spPr>
                </pic:pic>
              </a:graphicData>
            </a:graphic>
          </wp:inline>
        </w:drawing>
      </w:r>
      <w:r w:rsidRPr="00DF06E3">
        <w:rPr>
          <w:rFonts w:ascii="Arial" w:eastAsia="Times New Roman" w:hAnsi="Arial" w:cs="Arial"/>
          <w:color w:val="010101"/>
        </w:rPr>
        <w:fldChar w:fldCharType="end"/>
      </w:r>
    </w:p>
    <w:p w14:paraId="28EB2BB8"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Please note that, in lack of the original numerical data, no conclusions can be definitively drawn on the reliability of the data presented, especially regarding the apparent duplications detected.</w:t>
      </w:r>
    </w:p>
    <w:p w14:paraId="60F8FD98"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FURTHER CONCERNS.</w:t>
      </w:r>
    </w:p>
    <w:p w14:paraId="4B25A28F"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The authors did not specify enough characteristics of the convalescent patients used as a control for the evaluation of the humoral response in figure 2. How were they matched to the different groups of enrolled volunteers? Since there are several convalescent control patients which apparently are seronegative and are also negative for neutralizing antibodies, it is also crucial to know when their plasma was collected – for each patient, how many days passed since symptoms and seronegativization occurred? How many convalescent controls were used for the graphs in figure 2?</w:t>
      </w:r>
    </w:p>
    <w:p w14:paraId="7DDA28D4" w14:textId="77777777" w:rsidR="00DF06E3" w:rsidRPr="00DF06E3" w:rsidRDefault="00DF06E3" w:rsidP="00DF06E3">
      <w:pPr>
        <w:shd w:val="clear" w:color="auto" w:fill="FFFFFF"/>
        <w:spacing w:after="240"/>
        <w:rPr>
          <w:rFonts w:ascii="Arial" w:eastAsia="Times New Roman" w:hAnsi="Arial" w:cs="Arial"/>
          <w:color w:val="010101"/>
        </w:rPr>
      </w:pPr>
      <w:r w:rsidRPr="00DF06E3">
        <w:rPr>
          <w:rFonts w:ascii="Arial" w:eastAsia="Times New Roman" w:hAnsi="Arial" w:cs="Arial"/>
          <w:color w:val="010101"/>
        </w:rPr>
        <w:t>SIGNATURES.</w:t>
      </w:r>
    </w:p>
    <w:p w14:paraId="355D47E6" w14:textId="77777777" w:rsidR="00DF06E3" w:rsidRPr="00DF06E3" w:rsidRDefault="00DF06E3" w:rsidP="00DF06E3">
      <w:pPr>
        <w:shd w:val="clear" w:color="auto" w:fill="FFFFFF"/>
        <w:rPr>
          <w:rFonts w:ascii="Arial" w:eastAsia="Times New Roman" w:hAnsi="Arial" w:cs="Arial"/>
          <w:color w:val="010101"/>
        </w:rPr>
      </w:pPr>
      <w:r w:rsidRPr="00DF06E3">
        <w:rPr>
          <w:rFonts w:ascii="Arial" w:eastAsia="Times New Roman" w:hAnsi="Arial" w:cs="Arial"/>
          <w:color w:val="010101"/>
        </w:rPr>
        <w:t>Dr. Konstantin Andreev – Northwestern University (USA)</w:t>
      </w:r>
      <w:r w:rsidRPr="00DF06E3">
        <w:rPr>
          <w:rFonts w:ascii="Arial" w:eastAsia="Times New Roman" w:hAnsi="Arial" w:cs="Arial"/>
          <w:color w:val="010101"/>
        </w:rPr>
        <w:br/>
        <w:t>Dr. Yves Auberson – President, European Federation for Medicinal Chemistry (Switzerland)</w:t>
      </w:r>
      <w:r w:rsidRPr="00DF06E3">
        <w:rPr>
          <w:rFonts w:ascii="Arial" w:eastAsia="Times New Roman" w:hAnsi="Arial" w:cs="Arial"/>
          <w:color w:val="010101"/>
        </w:rPr>
        <w:br/>
        <w:t>Prof. Maurizio Battino – Università Politecnica delle Marche (Italy)</w:t>
      </w:r>
      <w:r w:rsidRPr="00DF06E3">
        <w:rPr>
          <w:rFonts w:ascii="Arial" w:eastAsia="Times New Roman" w:hAnsi="Arial" w:cs="Arial"/>
          <w:color w:val="010101"/>
        </w:rPr>
        <w:br/>
        <w:t>Dr. Joseph Bertolini – Retired (Australia)</w:t>
      </w:r>
      <w:r w:rsidRPr="00DF06E3">
        <w:rPr>
          <w:rFonts w:ascii="Arial" w:eastAsia="Times New Roman" w:hAnsi="Arial" w:cs="Arial"/>
          <w:color w:val="010101"/>
        </w:rPr>
        <w:br/>
        <w:t>Prof. Anders Björkman – Karolinska Institutet (Sweden)</w:t>
      </w:r>
      <w:r w:rsidRPr="00DF06E3">
        <w:rPr>
          <w:rFonts w:ascii="Arial" w:eastAsia="Times New Roman" w:hAnsi="Arial" w:cs="Arial"/>
          <w:color w:val="010101"/>
        </w:rPr>
        <w:br/>
        <w:t>Prof. Enrico Bucci – Temple University (USA)</w:t>
      </w:r>
      <w:r w:rsidRPr="00DF06E3">
        <w:rPr>
          <w:rFonts w:ascii="Arial" w:eastAsia="Times New Roman" w:hAnsi="Arial" w:cs="Arial"/>
          <w:color w:val="010101"/>
        </w:rPr>
        <w:br/>
        <w:t>Prof. Raffaele Calogero – Turin University (Italy)</w:t>
      </w:r>
      <w:r w:rsidRPr="00DF06E3">
        <w:rPr>
          <w:rFonts w:ascii="Arial" w:eastAsia="Times New Roman" w:hAnsi="Arial" w:cs="Arial"/>
          <w:color w:val="010101"/>
        </w:rPr>
        <w:br/>
        <w:t>Prof. Ernesto Carafoli – VIMM (Italy)</w:t>
      </w:r>
      <w:r w:rsidRPr="00DF06E3">
        <w:rPr>
          <w:rFonts w:ascii="Arial" w:eastAsia="Times New Roman" w:hAnsi="Arial" w:cs="Arial"/>
          <w:color w:val="010101"/>
        </w:rPr>
        <w:br/>
        <w:t>Dr. Piero Carninci – RIKEN Center for Integrative Medical Sciences (Japan)</w:t>
      </w:r>
      <w:r w:rsidRPr="00DF06E3">
        <w:rPr>
          <w:rFonts w:ascii="Arial" w:eastAsia="Times New Roman" w:hAnsi="Arial" w:cs="Arial"/>
          <w:color w:val="010101"/>
        </w:rPr>
        <w:br/>
        <w:t>Prof. Paola Castagnoli – Director, Toscana Life Sciences (Italy)</w:t>
      </w:r>
      <w:r w:rsidRPr="00DF06E3">
        <w:rPr>
          <w:rFonts w:ascii="Arial" w:eastAsia="Times New Roman" w:hAnsi="Arial" w:cs="Arial"/>
          <w:color w:val="010101"/>
        </w:rPr>
        <w:br/>
        <w:t>Eng. Silvano Coletti, Chelonia SA (Switzerland)</w:t>
      </w:r>
      <w:r w:rsidRPr="00DF06E3">
        <w:rPr>
          <w:rFonts w:ascii="Arial" w:eastAsia="Times New Roman" w:hAnsi="Arial" w:cs="Arial"/>
          <w:color w:val="010101"/>
        </w:rPr>
        <w:br/>
        <w:t>Prof. Pellegrino Conte – Palermo University (Italy)</w:t>
      </w:r>
      <w:r w:rsidRPr="00DF06E3">
        <w:rPr>
          <w:rFonts w:ascii="Arial" w:eastAsia="Times New Roman" w:hAnsi="Arial" w:cs="Arial"/>
          <w:color w:val="010101"/>
        </w:rPr>
        <w:br/>
        <w:t>Prof. Andrea Cossarizza – University of Modena and Reggio Emilia (Italy)</w:t>
      </w:r>
      <w:r w:rsidRPr="00DF06E3">
        <w:rPr>
          <w:rFonts w:ascii="Arial" w:eastAsia="Times New Roman" w:hAnsi="Arial" w:cs="Arial"/>
          <w:color w:val="010101"/>
        </w:rPr>
        <w:br/>
        <w:t>Prof. Paolo Costantino – Rome University “La Sapienza” (Italy)</w:t>
      </w:r>
      <w:r w:rsidRPr="00DF06E3">
        <w:rPr>
          <w:rFonts w:ascii="Arial" w:eastAsia="Times New Roman" w:hAnsi="Arial" w:cs="Arial"/>
          <w:color w:val="010101"/>
        </w:rPr>
        <w:br/>
      </w:r>
      <w:r w:rsidRPr="00DF06E3">
        <w:rPr>
          <w:rFonts w:ascii="Arial" w:eastAsia="Times New Roman" w:hAnsi="Arial" w:cs="Arial"/>
          <w:color w:val="010101"/>
        </w:rPr>
        <w:lastRenderedPageBreak/>
        <w:t>Dr. Massimo Degano – IRCCS Ospedale San Raffaele (Italy)</w:t>
      </w:r>
      <w:r w:rsidRPr="00DF06E3">
        <w:rPr>
          <w:rFonts w:ascii="Arial" w:eastAsia="Times New Roman" w:hAnsi="Arial" w:cs="Arial"/>
          <w:color w:val="010101"/>
        </w:rPr>
        <w:br/>
        <w:t>Prof. Michele De Luca – University of Modena and Reggio Emilia (Italy)</w:t>
      </w:r>
      <w:r w:rsidRPr="00DF06E3">
        <w:rPr>
          <w:rFonts w:ascii="Arial" w:eastAsia="Times New Roman" w:hAnsi="Arial" w:cs="Arial"/>
          <w:color w:val="010101"/>
        </w:rPr>
        <w:br/>
        <w:t>Dr. Andrea Grignolio – CNR (Italy) </w:t>
      </w:r>
      <w:r w:rsidRPr="00DF06E3">
        <w:rPr>
          <w:rFonts w:ascii="Arial" w:eastAsia="Times New Roman" w:hAnsi="Arial" w:cs="Arial"/>
          <w:color w:val="010101"/>
        </w:rPr>
        <w:br/>
        <w:t>Dr. Matthias Goerlach –  Leibniz Institute on Aging-Fritz Lipmann Institute (Germany) </w:t>
      </w:r>
      <w:r w:rsidRPr="00DF06E3">
        <w:rPr>
          <w:rFonts w:ascii="Arial" w:eastAsia="Times New Roman" w:hAnsi="Arial" w:cs="Arial"/>
          <w:color w:val="010101"/>
        </w:rPr>
        <w:br/>
        <w:t>Prof. Philippe Guerin – Director, Infectious Diseases Data Observatory and Centre for Tropical Medicine and Global Health – Oxford University (UK)</w:t>
      </w:r>
      <w:r w:rsidRPr="00DF06E3">
        <w:rPr>
          <w:rFonts w:ascii="Arial" w:eastAsia="Times New Roman" w:hAnsi="Arial" w:cs="Arial"/>
          <w:color w:val="010101"/>
        </w:rPr>
        <w:br/>
        <w:t>Prof. Samir Kabbabe – Hospital Universitario de Caracas (Venezuela)       </w:t>
      </w:r>
      <w:r w:rsidRPr="00DF06E3">
        <w:rPr>
          <w:rFonts w:ascii="Arial" w:eastAsia="Times New Roman" w:hAnsi="Arial" w:cs="Arial"/>
          <w:color w:val="010101"/>
        </w:rPr>
        <w:br/>
        <w:t>Prof. Riccardo Leardi – Genoa University (Italy)</w:t>
      </w:r>
      <w:r w:rsidRPr="00DF06E3">
        <w:rPr>
          <w:rFonts w:ascii="Arial" w:eastAsia="Times New Roman" w:hAnsi="Arial" w:cs="Arial"/>
          <w:color w:val="010101"/>
        </w:rPr>
        <w:br/>
        <w:t>Prof. Brian Lipworth – Dundee University (UK)</w:t>
      </w:r>
      <w:r w:rsidRPr="00DF06E3">
        <w:rPr>
          <w:rFonts w:ascii="Arial" w:eastAsia="Times New Roman" w:hAnsi="Arial" w:cs="Arial"/>
          <w:color w:val="010101"/>
        </w:rPr>
        <w:br/>
        <w:t>Prof. Luigi Marchionni – Weill-Cornell Medicine (USA)</w:t>
      </w:r>
      <w:r w:rsidRPr="00DF06E3">
        <w:rPr>
          <w:rFonts w:ascii="Arial" w:eastAsia="Times New Roman" w:hAnsi="Arial" w:cs="Arial"/>
          <w:color w:val="010101"/>
        </w:rPr>
        <w:br/>
        <w:t>Prof. Valentina Massa – Milan University (Italy)           </w:t>
      </w:r>
      <w:r w:rsidRPr="00DF06E3">
        <w:rPr>
          <w:rFonts w:ascii="Arial" w:eastAsia="Times New Roman" w:hAnsi="Arial" w:cs="Arial"/>
          <w:color w:val="010101"/>
        </w:rPr>
        <w:br/>
        <w:t>Prof. Cristina Mussini – University of Modena and Reggio Emilia (Italy)</w:t>
      </w:r>
      <w:r w:rsidRPr="00DF06E3">
        <w:rPr>
          <w:rFonts w:ascii="Arial" w:eastAsia="Times New Roman" w:hAnsi="Arial" w:cs="Arial"/>
          <w:color w:val="010101"/>
        </w:rPr>
        <w:br/>
        <w:t>Prof. Angelo Parini – INSERM (France)</w:t>
      </w:r>
      <w:r w:rsidRPr="00DF06E3">
        <w:rPr>
          <w:rFonts w:ascii="Arial" w:eastAsia="Times New Roman" w:hAnsi="Arial" w:cs="Arial"/>
          <w:color w:val="010101"/>
        </w:rPr>
        <w:br/>
        <w:t>Prof. Gianluca Sbardella – Salerno University (Italy)</w:t>
      </w:r>
      <w:r w:rsidRPr="00DF06E3">
        <w:rPr>
          <w:rFonts w:ascii="Arial" w:eastAsia="Times New Roman" w:hAnsi="Arial" w:cs="Arial"/>
          <w:color w:val="010101"/>
        </w:rPr>
        <w:br/>
        <w:t>Prof. Stephen M. Smith – University of Toronto (Canada)</w:t>
      </w:r>
      <w:r w:rsidRPr="00DF06E3">
        <w:rPr>
          <w:rFonts w:ascii="Arial" w:eastAsia="Times New Roman" w:hAnsi="Arial" w:cs="Arial"/>
          <w:color w:val="010101"/>
        </w:rPr>
        <w:br/>
        <w:t>Dr. Domenico Somma – Glasgow University (UK)</w:t>
      </w:r>
      <w:r w:rsidRPr="00DF06E3">
        <w:rPr>
          <w:rFonts w:ascii="Arial" w:eastAsia="Times New Roman" w:hAnsi="Arial" w:cs="Arial"/>
          <w:color w:val="010101"/>
        </w:rPr>
        <w:br/>
        <w:t>Dr. Teresa Stocki – Leeds Teaching Hospitals NHS Trust (UK)</w:t>
      </w:r>
      <w:r w:rsidRPr="00DF06E3">
        <w:rPr>
          <w:rFonts w:ascii="Arial" w:eastAsia="Times New Roman" w:hAnsi="Arial" w:cs="Arial"/>
          <w:color w:val="010101"/>
        </w:rPr>
        <w:br/>
        <w:t>Prof. Donald Thea – Boston University (USA)</w:t>
      </w:r>
      <w:r w:rsidRPr="00DF06E3">
        <w:rPr>
          <w:rFonts w:ascii="Arial" w:eastAsia="Times New Roman" w:hAnsi="Arial" w:cs="Arial"/>
          <w:color w:val="010101"/>
        </w:rPr>
        <w:br/>
        <w:t>Prof. Loretta Tuosto – Rome University “La Sapienza” (Italy)</w:t>
      </w:r>
      <w:r w:rsidRPr="00DF06E3">
        <w:rPr>
          <w:rFonts w:ascii="Arial" w:eastAsia="Times New Roman" w:hAnsi="Arial" w:cs="Arial"/>
          <w:color w:val="010101"/>
        </w:rPr>
        <w:br/>
        <w:t>Dr. Christoffer van Tulleken – University College London (UK)</w:t>
      </w:r>
      <w:r w:rsidRPr="00DF06E3">
        <w:rPr>
          <w:rFonts w:ascii="Arial" w:eastAsia="Times New Roman" w:hAnsi="Arial" w:cs="Arial"/>
          <w:color w:val="010101"/>
        </w:rPr>
        <w:br/>
        <w:t>Dr Mirella Vivoli Vega – Exeter University (UK)</w:t>
      </w:r>
      <w:r w:rsidRPr="00DF06E3">
        <w:rPr>
          <w:rFonts w:ascii="Arial" w:eastAsia="Times New Roman" w:hAnsi="Arial" w:cs="Arial"/>
          <w:color w:val="010101"/>
        </w:rPr>
        <w:br/>
        <w:t>Prof. Antonella Viola – Università degli studi di Padova (Italy)</w:t>
      </w:r>
      <w:r w:rsidRPr="00DF06E3">
        <w:rPr>
          <w:rFonts w:ascii="Arial" w:eastAsia="Times New Roman" w:hAnsi="Arial" w:cs="Arial"/>
          <w:color w:val="010101"/>
        </w:rPr>
        <w:br/>
        <w:t>Dr. James Watson – Mahidol University (Thailand)</w:t>
      </w:r>
      <w:r w:rsidRPr="00DF06E3">
        <w:rPr>
          <w:rFonts w:ascii="Arial" w:eastAsia="Times New Roman" w:hAnsi="Arial" w:cs="Arial"/>
          <w:color w:val="010101"/>
        </w:rPr>
        <w:br/>
        <w:t>Dr. Stefano Zona – Dept. of primary care AUSL Modena (Italy)</w:t>
      </w:r>
    </w:p>
    <w:p w14:paraId="71E29690" w14:textId="77777777" w:rsidR="00DF06E3" w:rsidRDefault="00DF06E3"/>
    <w:sectPr w:rsidR="00DF0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E3"/>
    <w:rsid w:val="00DF06E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6A73FC4"/>
  <w15:chartTrackingRefBased/>
  <w15:docId w15:val="{83E078B6-2A98-1E42-B803-89B2F4A6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6E3"/>
    <w:rPr>
      <w:color w:val="0000FF"/>
      <w:u w:val="single"/>
    </w:rPr>
  </w:style>
  <w:style w:type="paragraph" w:styleId="NormalWeb">
    <w:name w:val="Normal (Web)"/>
    <w:basedOn w:val="Normal"/>
    <w:uiPriority w:val="99"/>
    <w:semiHidden/>
    <w:unhideWhenUsed/>
    <w:rsid w:val="00DF06E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F0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150393">
      <w:bodyDiv w:val="1"/>
      <w:marLeft w:val="0"/>
      <w:marRight w:val="0"/>
      <w:marTop w:val="0"/>
      <w:marBottom w:val="0"/>
      <w:divBdr>
        <w:top w:val="none" w:sz="0" w:space="0" w:color="auto"/>
        <w:left w:val="none" w:sz="0" w:space="0" w:color="auto"/>
        <w:bottom w:val="none" w:sz="0" w:space="0" w:color="auto"/>
        <w:right w:val="none" w:sz="0" w:space="0" w:color="auto"/>
      </w:divBdr>
      <w:divsChild>
        <w:div w:id="13651917">
          <w:marLeft w:val="0"/>
          <w:marRight w:val="0"/>
          <w:marTop w:val="0"/>
          <w:marBottom w:val="450"/>
          <w:divBdr>
            <w:top w:val="none" w:sz="0" w:space="0" w:color="auto"/>
            <w:left w:val="none" w:sz="0" w:space="0" w:color="auto"/>
            <w:bottom w:val="none" w:sz="0" w:space="0" w:color="auto"/>
            <w:right w:val="none" w:sz="0" w:space="0" w:color="auto"/>
          </w:divBdr>
        </w:div>
        <w:div w:id="1487630056">
          <w:marLeft w:val="0"/>
          <w:marRight w:val="0"/>
          <w:marTop w:val="0"/>
          <w:marBottom w:val="450"/>
          <w:divBdr>
            <w:top w:val="none" w:sz="0" w:space="0" w:color="auto"/>
            <w:left w:val="none" w:sz="0" w:space="0" w:color="auto"/>
            <w:bottom w:val="none" w:sz="0" w:space="0" w:color="auto"/>
            <w:right w:val="none" w:sz="0" w:space="0" w:color="auto"/>
          </w:divBdr>
          <w:divsChild>
            <w:div w:id="2141267643">
              <w:marLeft w:val="0"/>
              <w:marRight w:val="0"/>
              <w:marTop w:val="0"/>
              <w:marBottom w:val="240"/>
              <w:divBdr>
                <w:top w:val="none" w:sz="0" w:space="0" w:color="auto"/>
                <w:left w:val="none" w:sz="0" w:space="0" w:color="auto"/>
                <w:bottom w:val="none" w:sz="0" w:space="0" w:color="auto"/>
                <w:right w:val="none" w:sz="0" w:space="0" w:color="auto"/>
              </w:divBdr>
            </w:div>
            <w:div w:id="1808165279">
              <w:marLeft w:val="0"/>
              <w:marRight w:val="0"/>
              <w:marTop w:val="0"/>
              <w:marBottom w:val="240"/>
              <w:divBdr>
                <w:top w:val="none" w:sz="0" w:space="0" w:color="auto"/>
                <w:left w:val="none" w:sz="0" w:space="0" w:color="auto"/>
                <w:bottom w:val="none" w:sz="0" w:space="0" w:color="auto"/>
                <w:right w:val="none" w:sz="0" w:space="0" w:color="auto"/>
              </w:divBdr>
            </w:div>
            <w:div w:id="5498011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lancet.com/journals/lancet/article/PIIS0140-6736(20)31866-3/fulltex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cattiviscienziati.com/2020/09/07/note-of-concern/"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Cankat Tulunay</dc:creator>
  <cp:keywords/>
  <dc:description/>
  <cp:lastModifiedBy>Faik Cankat Tulunay</cp:lastModifiedBy>
  <cp:revision>1</cp:revision>
  <dcterms:created xsi:type="dcterms:W3CDTF">2021-05-03T03:32:00Z</dcterms:created>
  <dcterms:modified xsi:type="dcterms:W3CDTF">2021-05-03T03:33:00Z</dcterms:modified>
</cp:coreProperties>
</file>