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52" w:rsidRDefault="00CA0B52" w:rsidP="00CA0B52">
      <w:pPr>
        <w:widowControl w:val="0"/>
        <w:autoSpaceDE w:val="0"/>
        <w:autoSpaceDN w:val="0"/>
        <w:adjustRightInd w:val="0"/>
        <w:spacing w:after="200"/>
        <w:rPr>
          <w:rFonts w:ascii="Arial" w:hAnsi="Arial" w:cs="Arial"/>
          <w:b/>
          <w:bCs/>
          <w:color w:val="1A1A1A"/>
          <w:spacing w:val="-20"/>
          <w:kern w:val="1"/>
          <w:sz w:val="48"/>
          <w:szCs w:val="48"/>
        </w:rPr>
      </w:pPr>
      <w:hyperlink r:id="rId6" w:history="1">
        <w:r>
          <w:rPr>
            <w:rFonts w:ascii="Arial" w:hAnsi="Arial" w:cs="Arial"/>
            <w:b/>
            <w:bCs/>
            <w:spacing w:val="-20"/>
            <w:kern w:val="1"/>
            <w:sz w:val="48"/>
            <w:szCs w:val="48"/>
            <w:u w:val="single"/>
          </w:rPr>
          <w:t>The Cost of New Drug Discovery and Development</w:t>
        </w:r>
      </w:hyperlink>
    </w:p>
    <w:p w:rsidR="00CA0B52" w:rsidRDefault="00CA0B52" w:rsidP="00CA0B52">
      <w:pPr>
        <w:widowControl w:val="0"/>
        <w:autoSpaceDE w:val="0"/>
        <w:autoSpaceDN w:val="0"/>
        <w:adjustRightInd w:val="0"/>
        <w:rPr>
          <w:rFonts w:ascii="Arial" w:hAnsi="Arial" w:cs="Arial"/>
          <w:color w:val="0E3568"/>
          <w:kern w:val="1"/>
        </w:rPr>
      </w:pPr>
      <w:r>
        <w:rPr>
          <w:rFonts w:ascii="Arial" w:hAnsi="Arial" w:cs="Arial"/>
          <w:color w:val="0E3568"/>
          <w:kern w:val="1"/>
        </w:rPr>
        <w:t>Published on June 20, 2009</w:t>
      </w:r>
      <w:r>
        <w:rPr>
          <w:rFonts w:ascii="Arial" w:hAnsi="Arial" w:cs="Arial"/>
          <w:color w:val="0E3568"/>
          <w:kern w:val="1"/>
        </w:rPr>
        <w:t xml:space="preserve">  </w:t>
      </w:r>
      <w:r>
        <w:rPr>
          <w:rFonts w:ascii="Arial" w:hAnsi="Arial" w:cs="Arial"/>
          <w:sz w:val="28"/>
          <w:szCs w:val="28"/>
        </w:rPr>
        <w:t>Discovery Medicine, 4(22):172-179, 2004</w:t>
      </w:r>
      <w:bookmarkStart w:id="0" w:name="_GoBack"/>
      <w:bookmarkEnd w:id="0"/>
    </w:p>
    <w:p w:rsidR="00CA0B52" w:rsidRDefault="00CA0B52" w:rsidP="00CA0B52">
      <w:pPr>
        <w:widowControl w:val="0"/>
        <w:autoSpaceDE w:val="0"/>
        <w:autoSpaceDN w:val="0"/>
        <w:adjustRightInd w:val="0"/>
        <w:rPr>
          <w:rFonts w:ascii="Arial" w:hAnsi="Arial" w:cs="Arial"/>
          <w:color w:val="0E3568"/>
          <w:kern w:val="1"/>
        </w:rPr>
      </w:pPr>
    </w:p>
    <w:p w:rsidR="00CA0B52" w:rsidRDefault="00CA0B52" w:rsidP="00CA0B52">
      <w:pPr>
        <w:widowControl w:val="0"/>
        <w:autoSpaceDE w:val="0"/>
        <w:autoSpaceDN w:val="0"/>
        <w:adjustRightInd w:val="0"/>
        <w:rPr>
          <w:rFonts w:ascii="Arial" w:hAnsi="Arial" w:cs="Arial"/>
          <w:color w:val="0E3568"/>
          <w:kern w:val="1"/>
        </w:rPr>
      </w:pPr>
      <w:r>
        <w:rPr>
          <w:rFonts w:ascii="Arial" w:hAnsi="Arial" w:cs="Arial"/>
          <w:color w:val="0E3568"/>
          <w:kern w:val="1"/>
        </w:rPr>
        <w:t xml:space="preserve">Author: </w:t>
      </w:r>
      <w:hyperlink r:id="rId7" w:history="1">
        <w:r>
          <w:rPr>
            <w:rFonts w:ascii="Arial" w:hAnsi="Arial" w:cs="Arial"/>
            <w:b/>
            <w:bCs/>
            <w:color w:val="0E3568"/>
            <w:kern w:val="1"/>
            <w:u w:val="single"/>
          </w:rPr>
          <w:t>Michael Dickson</w:t>
        </w:r>
      </w:hyperlink>
    </w:p>
    <w:p w:rsidR="00CA0B52" w:rsidRDefault="00CA0B52" w:rsidP="00CA0B52">
      <w:pPr>
        <w:widowControl w:val="0"/>
        <w:autoSpaceDE w:val="0"/>
        <w:autoSpaceDN w:val="0"/>
        <w:adjustRightInd w:val="0"/>
        <w:rPr>
          <w:rFonts w:ascii="Arial" w:hAnsi="Arial" w:cs="Arial"/>
          <w:color w:val="0E3568"/>
          <w:kern w:val="1"/>
        </w:rPr>
      </w:pPr>
      <w:r>
        <w:rPr>
          <w:rFonts w:ascii="Arial" w:hAnsi="Arial" w:cs="Arial"/>
          <w:color w:val="0E3568"/>
          <w:kern w:val="1"/>
        </w:rPr>
        <w:t>Institution: College of Pharmacy, University of South Carolina Address: Columbia, SC, 29208, USA</w:t>
      </w:r>
    </w:p>
    <w:p w:rsidR="00CA0B52" w:rsidRDefault="00CA0B52" w:rsidP="00CA0B52">
      <w:pPr>
        <w:widowControl w:val="0"/>
        <w:autoSpaceDE w:val="0"/>
        <w:autoSpaceDN w:val="0"/>
        <w:adjustRightInd w:val="0"/>
        <w:rPr>
          <w:rFonts w:ascii="Arial" w:hAnsi="Arial" w:cs="Arial"/>
          <w:color w:val="0E3568"/>
          <w:kern w:val="1"/>
        </w:rPr>
      </w:pPr>
      <w:r>
        <w:rPr>
          <w:rFonts w:ascii="Arial" w:hAnsi="Arial" w:cs="Arial"/>
          <w:color w:val="0E3568"/>
          <w:kern w:val="1"/>
        </w:rPr>
        <w:t xml:space="preserve">Author: </w:t>
      </w:r>
      <w:hyperlink r:id="rId8" w:history="1">
        <w:r>
          <w:rPr>
            <w:rFonts w:ascii="Arial" w:hAnsi="Arial" w:cs="Arial"/>
            <w:b/>
            <w:bCs/>
            <w:color w:val="0E3568"/>
            <w:kern w:val="1"/>
            <w:u w:val="single"/>
          </w:rPr>
          <w:t>Jean Paul Gagnon</w:t>
        </w:r>
      </w:hyperlink>
    </w:p>
    <w:p w:rsidR="00CA0B52" w:rsidRDefault="00CA0B52" w:rsidP="00CA0B52">
      <w:pPr>
        <w:widowControl w:val="0"/>
        <w:autoSpaceDE w:val="0"/>
        <w:autoSpaceDN w:val="0"/>
        <w:adjustRightInd w:val="0"/>
        <w:rPr>
          <w:rFonts w:ascii="Arial" w:hAnsi="Arial" w:cs="Arial"/>
          <w:color w:val="0E3568"/>
          <w:kern w:val="1"/>
        </w:rPr>
      </w:pPr>
      <w:r>
        <w:rPr>
          <w:rFonts w:ascii="Arial" w:hAnsi="Arial" w:cs="Arial"/>
          <w:color w:val="0E3568"/>
          <w:kern w:val="1"/>
        </w:rPr>
        <w:t>Institution: Director of Public Policy, Aventis Pharmaceuticals Address: Bridgewater, NJ, 08807, USA</w:t>
      </w:r>
    </w:p>
    <w:p w:rsidR="00CA0B52" w:rsidRDefault="00CA0B52" w:rsidP="00CA0B52">
      <w:pPr>
        <w:widowControl w:val="0"/>
        <w:numPr>
          <w:ilvl w:val="0"/>
          <w:numId w:val="1"/>
        </w:numPr>
        <w:tabs>
          <w:tab w:val="left" w:pos="220"/>
          <w:tab w:val="left" w:pos="720"/>
        </w:tabs>
        <w:autoSpaceDE w:val="0"/>
        <w:autoSpaceDN w:val="0"/>
        <w:adjustRightInd w:val="0"/>
        <w:ind w:hanging="720"/>
        <w:rPr>
          <w:rFonts w:ascii="Arial" w:hAnsi="Arial" w:cs="Arial"/>
          <w:kern w:val="1"/>
        </w:rPr>
      </w:pPr>
      <w:r>
        <w:rPr>
          <w:rFonts w:ascii="Arial" w:hAnsi="Arial" w:cs="Arial"/>
          <w:color w:val="051B8E"/>
          <w:kern w:val="1"/>
        </w:rPr>
        <w:tab/>
      </w:r>
      <w:r>
        <w:rPr>
          <w:rFonts w:ascii="Arial" w:hAnsi="Arial" w:cs="Arial"/>
          <w:color w:val="051B8E"/>
          <w:kern w:val="1"/>
        </w:rPr>
        <w:tab/>
      </w:r>
      <w:hyperlink r:id="rId9" w:history="1">
        <w:r>
          <w:rPr>
            <w:rFonts w:ascii="Arial" w:hAnsi="Arial" w:cs="Arial"/>
            <w:color w:val="051B8E"/>
            <w:kern w:val="1"/>
          </w:rPr>
          <w:t>Access PDF as a Subscriber</w:t>
        </w:r>
      </w:hyperlink>
    </w:p>
    <w:p w:rsidR="00CA0B52" w:rsidRDefault="00CA0B52" w:rsidP="00CA0B52">
      <w:pPr>
        <w:widowControl w:val="0"/>
        <w:numPr>
          <w:ilvl w:val="0"/>
          <w:numId w:val="1"/>
        </w:numPr>
        <w:tabs>
          <w:tab w:val="left" w:pos="220"/>
          <w:tab w:val="left" w:pos="720"/>
        </w:tabs>
        <w:autoSpaceDE w:val="0"/>
        <w:autoSpaceDN w:val="0"/>
        <w:adjustRightInd w:val="0"/>
        <w:ind w:hanging="720"/>
        <w:rPr>
          <w:rFonts w:ascii="Arial" w:hAnsi="Arial" w:cs="Arial"/>
          <w:kern w:val="1"/>
        </w:rPr>
      </w:pPr>
      <w:r>
        <w:rPr>
          <w:rFonts w:ascii="Arial" w:hAnsi="Arial" w:cs="Arial"/>
          <w:kern w:val="1"/>
        </w:rPr>
        <w:tab/>
      </w:r>
      <w:r>
        <w:rPr>
          <w:rFonts w:ascii="Arial" w:hAnsi="Arial" w:cs="Arial"/>
          <w:kern w:val="1"/>
        </w:rPr>
        <w:tab/>
      </w:r>
    </w:p>
    <w:p w:rsidR="00CA0B52" w:rsidRDefault="00CA0B52" w:rsidP="00CA0B52">
      <w:pPr>
        <w:widowControl w:val="0"/>
        <w:numPr>
          <w:ilvl w:val="0"/>
          <w:numId w:val="1"/>
        </w:numPr>
        <w:tabs>
          <w:tab w:val="left" w:pos="220"/>
          <w:tab w:val="left" w:pos="720"/>
        </w:tabs>
        <w:autoSpaceDE w:val="0"/>
        <w:autoSpaceDN w:val="0"/>
        <w:adjustRightInd w:val="0"/>
        <w:ind w:hanging="720"/>
        <w:rPr>
          <w:rFonts w:ascii="Arial" w:hAnsi="Arial" w:cs="Arial"/>
          <w:kern w:val="1"/>
        </w:rPr>
      </w:pPr>
      <w:r>
        <w:rPr>
          <w:rFonts w:ascii="Arial" w:hAnsi="Arial" w:cs="Arial"/>
          <w:color w:val="051B8E"/>
          <w:kern w:val="1"/>
        </w:rPr>
        <w:tab/>
      </w:r>
      <w:r>
        <w:rPr>
          <w:rFonts w:ascii="Arial" w:hAnsi="Arial" w:cs="Arial"/>
          <w:color w:val="051B8E"/>
          <w:kern w:val="1"/>
        </w:rPr>
        <w:tab/>
        <w:t>Related Articles</w:t>
      </w:r>
    </w:p>
    <w:p w:rsidR="00CA0B52" w:rsidRDefault="00CA0B52" w:rsidP="00CA0B52">
      <w:pPr>
        <w:widowControl w:val="0"/>
        <w:numPr>
          <w:ilvl w:val="0"/>
          <w:numId w:val="1"/>
        </w:numPr>
        <w:tabs>
          <w:tab w:val="left" w:pos="220"/>
          <w:tab w:val="left" w:pos="720"/>
        </w:tabs>
        <w:autoSpaceDE w:val="0"/>
        <w:autoSpaceDN w:val="0"/>
        <w:adjustRightInd w:val="0"/>
        <w:ind w:hanging="720"/>
        <w:rPr>
          <w:rFonts w:ascii="Arial" w:hAnsi="Arial" w:cs="Arial"/>
          <w:kern w:val="1"/>
        </w:rPr>
      </w:pPr>
      <w:r>
        <w:rPr>
          <w:rFonts w:ascii="Arial" w:hAnsi="Arial" w:cs="Arial"/>
          <w:color w:val="051B8E"/>
          <w:kern w:val="1"/>
        </w:rPr>
        <w:tab/>
      </w:r>
      <w:r>
        <w:rPr>
          <w:rFonts w:ascii="Arial" w:hAnsi="Arial" w:cs="Arial"/>
          <w:color w:val="051B8E"/>
          <w:kern w:val="1"/>
        </w:rPr>
        <w:tab/>
      </w:r>
      <w:hyperlink r:id="rId10" w:history="1">
        <w:r>
          <w:rPr>
            <w:rFonts w:ascii="Arial" w:hAnsi="Arial" w:cs="Arial"/>
            <w:color w:val="051B8E"/>
            <w:kern w:val="1"/>
          </w:rPr>
          <w:t>Email This Article</w:t>
        </w:r>
      </w:hyperlink>
    </w:p>
    <w:p w:rsidR="00CA0B52" w:rsidRDefault="00CA0B52" w:rsidP="00CA0B52">
      <w:pPr>
        <w:widowControl w:val="0"/>
        <w:numPr>
          <w:ilvl w:val="0"/>
          <w:numId w:val="1"/>
        </w:numPr>
        <w:tabs>
          <w:tab w:val="left" w:pos="220"/>
          <w:tab w:val="left" w:pos="720"/>
        </w:tabs>
        <w:autoSpaceDE w:val="0"/>
        <w:autoSpaceDN w:val="0"/>
        <w:adjustRightInd w:val="0"/>
        <w:ind w:hanging="720"/>
        <w:rPr>
          <w:rFonts w:ascii="Arial" w:hAnsi="Arial" w:cs="Arial"/>
          <w:kern w:val="1"/>
        </w:rPr>
      </w:pPr>
      <w:r>
        <w:rPr>
          <w:rFonts w:ascii="Arial" w:hAnsi="Arial" w:cs="Arial"/>
          <w:color w:val="051B8E"/>
          <w:kern w:val="1"/>
        </w:rPr>
        <w:tab/>
      </w:r>
      <w:r>
        <w:rPr>
          <w:rFonts w:ascii="Arial" w:hAnsi="Arial" w:cs="Arial"/>
          <w:color w:val="051B8E"/>
          <w:kern w:val="1"/>
        </w:rPr>
        <w:tab/>
      </w:r>
      <w:hyperlink r:id="rId11" w:history="1">
        <w:r>
          <w:rPr>
            <w:rFonts w:ascii="Arial" w:hAnsi="Arial" w:cs="Arial"/>
            <w:color w:val="051B8E"/>
            <w:kern w:val="1"/>
          </w:rPr>
          <w:t>Share This Article</w:t>
        </w:r>
      </w:hyperlink>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b/>
          <w:bCs/>
          <w:kern w:val="1"/>
          <w:sz w:val="28"/>
          <w:szCs w:val="28"/>
        </w:rPr>
        <w:t xml:space="preserve">Abstract: </w:t>
      </w:r>
      <w:r>
        <w:rPr>
          <w:rFonts w:ascii="Arial" w:hAnsi="Arial" w:cs="Arial"/>
          <w:kern w:val="1"/>
          <w:sz w:val="28"/>
          <w:szCs w:val="28"/>
        </w:rPr>
        <w:t>Drug discovery and development is a complex, high octane, high risk and potentially highly rewarding endeavor. Companies literally burn cash to push through the arduous process, to the tune of $802 million per drug. Why is it so high? Who's paying for it? Can this be sustained?</w:t>
      </w:r>
    </w:p>
    <w:p w:rsidR="00CA0B52" w:rsidRDefault="00CA0B52" w:rsidP="00CA0B52">
      <w:pPr>
        <w:widowControl w:val="0"/>
        <w:autoSpaceDE w:val="0"/>
        <w:autoSpaceDN w:val="0"/>
        <w:adjustRightInd w:val="0"/>
        <w:rPr>
          <w:rFonts w:ascii="Arial" w:hAnsi="Arial" w:cs="Arial"/>
          <w:kern w:val="1"/>
        </w:rPr>
      </w:pPr>
    </w:p>
    <w:p w:rsidR="00CA0B52" w:rsidRDefault="00CA0B52" w:rsidP="00CA0B52">
      <w:pPr>
        <w:widowControl w:val="0"/>
        <w:autoSpaceDE w:val="0"/>
        <w:autoSpaceDN w:val="0"/>
        <w:adjustRightInd w:val="0"/>
        <w:rPr>
          <w:rFonts w:ascii="Arial" w:hAnsi="Arial" w:cs="Arial"/>
          <w:kern w:val="1"/>
        </w:rPr>
      </w:pP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The development of a new drug requires a major investment of capital, human resources, and technological expertise. It also requires strict adherence to regulations on testing and manufacturing standards before a new drug can be used in the general population. All these requirements contribute to the cost increases for a new chemical entities (NCE, i.e., new drug candidate) research and development (R&amp;D). The central question raised by this trend is who will pay for new pharmaceutical R&amp;D?</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With this question in mind, this article has three objectives: 1) to describe how the environment for pharmaceutical R&amp;D has changed over time and the effect of these changes on the R&amp;D process, 2) to summarize available information on the cost of </w:t>
      </w:r>
      <w:hyperlink r:id="rId12" w:history="1">
        <w:r>
          <w:rPr>
            <w:rFonts w:ascii="Arial" w:hAnsi="Arial" w:cs="Arial"/>
            <w:kern w:val="1"/>
            <w:sz w:val="28"/>
            <w:szCs w:val="28"/>
            <w:u w:val="single"/>
          </w:rPr>
          <w:t>drug discovery</w:t>
        </w:r>
      </w:hyperlink>
      <w:r>
        <w:rPr>
          <w:rFonts w:ascii="Arial" w:hAnsi="Arial" w:cs="Arial"/>
          <w:kern w:val="1"/>
          <w:sz w:val="28"/>
          <w:szCs w:val="28"/>
        </w:rPr>
        <w:t xml:space="preserve"> and development for NCEs, and 3) to consider the societal value of new drugs. The focus is on the United States, as the largest pharmaceutical market, and for which the relevant literature is most comprehensive, but many of the issues discussed are similarly important in the other major markets.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b/>
          <w:bCs/>
          <w:kern w:val="1"/>
          <w:sz w:val="28"/>
          <w:szCs w:val="28"/>
        </w:rPr>
        <w:t>The Changing Environment for Pharmaceutical R&amp;D</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lastRenderedPageBreak/>
        <w:t>Trends in the type of new drug development.</w:t>
      </w:r>
      <w:r>
        <w:rPr>
          <w:rFonts w:ascii="Arial" w:hAnsi="Arial" w:cs="Arial"/>
          <w:kern w:val="1"/>
          <w:sz w:val="28"/>
          <w:szCs w:val="28"/>
        </w:rPr>
        <w:t xml:space="preserve"> Drug therapy has developed in response to population health care needs to the extent that resources and technology permit. The most recent trend has been to pursue drugs for the treatment of chronic diseases, especially those that most commonly afflict the aged. Of the three leading causes of death — </w:t>
      </w:r>
      <w:hyperlink r:id="rId13" w:history="1">
        <w:r>
          <w:rPr>
            <w:rFonts w:ascii="Arial" w:hAnsi="Arial" w:cs="Arial"/>
            <w:kern w:val="1"/>
            <w:sz w:val="28"/>
            <w:szCs w:val="28"/>
            <w:u w:val="single"/>
          </w:rPr>
          <w:t>cardiovascular disease</w:t>
        </w:r>
      </w:hyperlink>
      <w:r>
        <w:rPr>
          <w:rFonts w:ascii="Arial" w:hAnsi="Arial" w:cs="Arial"/>
          <w:kern w:val="1"/>
          <w:sz w:val="28"/>
          <w:szCs w:val="28"/>
        </w:rPr>
        <w:t xml:space="preserve"> (CVD), cancer and </w:t>
      </w:r>
      <w:hyperlink r:id="rId14" w:history="1">
        <w:r>
          <w:rPr>
            <w:rFonts w:ascii="Arial" w:hAnsi="Arial" w:cs="Arial"/>
            <w:kern w:val="1"/>
            <w:sz w:val="28"/>
            <w:szCs w:val="28"/>
            <w:u w:val="single"/>
          </w:rPr>
          <w:t>stroke</w:t>
        </w:r>
      </w:hyperlink>
      <w:r>
        <w:rPr>
          <w:rFonts w:ascii="Arial" w:hAnsi="Arial" w:cs="Arial"/>
          <w:kern w:val="1"/>
          <w:sz w:val="28"/>
          <w:szCs w:val="28"/>
        </w:rPr>
        <w:t xml:space="preserve"> — CVD is the biggest killer. In the United States alone, the cost of treating CVD will exceed US $368 billion in 2004, and CVD claims more lives each year than the next seven causes of death combined. As with all health-care technologies, drugs are improved through continued research, without which there would be no advances in treatment.</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Although there have been some new uses for older drugs (i.e., </w:t>
      </w:r>
      <w:hyperlink r:id="rId15" w:history="1">
        <w:r>
          <w:rPr>
            <w:rFonts w:ascii="Arial" w:hAnsi="Arial" w:cs="Arial"/>
            <w:kern w:val="1"/>
            <w:sz w:val="28"/>
            <w:szCs w:val="28"/>
            <w:u w:val="single"/>
          </w:rPr>
          <w:t>thalidomide</w:t>
        </w:r>
      </w:hyperlink>
      <w:r>
        <w:rPr>
          <w:rFonts w:ascii="Arial" w:hAnsi="Arial" w:cs="Arial"/>
          <w:kern w:val="1"/>
          <w:sz w:val="28"/>
          <w:szCs w:val="28"/>
        </w:rPr>
        <w:t xml:space="preserve">) and some very old drugs continue to be used today (i.e., </w:t>
      </w:r>
      <w:hyperlink r:id="rId16" w:history="1">
        <w:r>
          <w:rPr>
            <w:rFonts w:ascii="Arial" w:hAnsi="Arial" w:cs="Arial"/>
            <w:kern w:val="1"/>
            <w:sz w:val="28"/>
            <w:szCs w:val="28"/>
            <w:u w:val="single"/>
          </w:rPr>
          <w:t>digoxin</w:t>
        </w:r>
      </w:hyperlink>
      <w:r>
        <w:rPr>
          <w:rFonts w:ascii="Arial" w:hAnsi="Arial" w:cs="Arial"/>
          <w:kern w:val="1"/>
          <w:sz w:val="28"/>
          <w:szCs w:val="28"/>
        </w:rPr>
        <w:t xml:space="preserve">), the drug therapy used today is much improved from even 20 years ago. There have been marked improvements in long-established drug classes (i.e., atypical antipsychotics) and entirely new classes of drugs (i.e., </w:t>
      </w:r>
      <w:hyperlink r:id="rId17" w:history="1">
        <w:r>
          <w:rPr>
            <w:rFonts w:ascii="Arial" w:hAnsi="Arial" w:cs="Arial"/>
            <w:kern w:val="1"/>
            <w:sz w:val="28"/>
            <w:szCs w:val="28"/>
            <w:u w:val="single"/>
          </w:rPr>
          <w:t>statins</w:t>
        </w:r>
      </w:hyperlink>
      <w:r>
        <w:rPr>
          <w:rFonts w:ascii="Arial" w:hAnsi="Arial" w:cs="Arial"/>
          <w:kern w:val="1"/>
          <w:sz w:val="28"/>
          <w:szCs w:val="28"/>
        </w:rPr>
        <w:t xml:space="preserve">) that offer major improvements over previous treatments have emerged. There are now drugs for conditions that were previously without treatment (i.e., Alzheimer’s disease), and the emergence of </w:t>
      </w:r>
      <w:hyperlink r:id="rId18" w:history="1">
        <w:r>
          <w:rPr>
            <w:rFonts w:ascii="Arial" w:hAnsi="Arial" w:cs="Arial"/>
            <w:kern w:val="1"/>
            <w:sz w:val="28"/>
            <w:szCs w:val="28"/>
            <w:u w:val="single"/>
          </w:rPr>
          <w:t>HIV</w:t>
        </w:r>
      </w:hyperlink>
      <w:r>
        <w:rPr>
          <w:rFonts w:ascii="Arial" w:hAnsi="Arial" w:cs="Arial"/>
          <w:kern w:val="1"/>
          <w:sz w:val="28"/>
          <w:szCs w:val="28"/>
        </w:rPr>
        <w:t>/</w:t>
      </w:r>
      <w:hyperlink r:id="rId19" w:history="1">
        <w:r>
          <w:rPr>
            <w:rFonts w:ascii="Arial" w:hAnsi="Arial" w:cs="Arial"/>
            <w:kern w:val="1"/>
            <w:sz w:val="28"/>
            <w:szCs w:val="28"/>
            <w:u w:val="single"/>
          </w:rPr>
          <w:t>AIDS</w:t>
        </w:r>
      </w:hyperlink>
      <w:r>
        <w:rPr>
          <w:rFonts w:ascii="Arial" w:hAnsi="Arial" w:cs="Arial"/>
          <w:kern w:val="1"/>
          <w:sz w:val="28"/>
          <w:szCs w:val="28"/>
        </w:rPr>
        <w:t xml:space="preserve"> in the early 1980s points to the need to expect the unexpected.</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The new drug approval process.</w:t>
      </w:r>
      <w:r>
        <w:rPr>
          <w:rFonts w:ascii="Arial" w:hAnsi="Arial" w:cs="Arial"/>
          <w:kern w:val="1"/>
          <w:sz w:val="28"/>
          <w:szCs w:val="28"/>
        </w:rPr>
        <w:t xml:space="preserve"> In the United States, as in most countries, there is a formal process by which new drugs are approved for marketing. The standards of evidence for new drug approval are similar across countries, although the process may differ. An overview of the drug approval process, shown in Figure 1, demonstrates both its complexity and why it is time-</w:t>
      </w:r>
      <w:r>
        <w:rPr>
          <w:rFonts w:ascii="Arial" w:hAnsi="Arial" w:cs="Arial"/>
          <w:kern w:val="1"/>
          <w:sz w:val="28"/>
          <w:szCs w:val="28"/>
        </w:rPr>
        <w:fldChar w:fldCharType="begin"/>
      </w:r>
      <w:r>
        <w:rPr>
          <w:rFonts w:ascii="Arial" w:hAnsi="Arial" w:cs="Arial"/>
          <w:kern w:val="1"/>
          <w:sz w:val="28"/>
          <w:szCs w:val="28"/>
        </w:rPr>
        <w:instrText>HYPERLINK "http://www.discoverymedicine.com/Michael-Dickson/files/2009/08/dickson_22_fig1.jpg"</w:instrText>
      </w:r>
      <w:r>
        <w:rPr>
          <w:rFonts w:ascii="Arial" w:hAnsi="Arial" w:cs="Arial"/>
          <w:kern w:val="1"/>
          <w:sz w:val="28"/>
          <w:szCs w:val="28"/>
        </w:rPr>
      </w:r>
      <w:r>
        <w:rPr>
          <w:rFonts w:ascii="Arial" w:hAnsi="Arial" w:cs="Arial"/>
          <w:kern w:val="1"/>
          <w:sz w:val="28"/>
          <w:szCs w:val="28"/>
        </w:rPr>
        <w:fldChar w:fldCharType="separate"/>
      </w:r>
    </w:p>
    <w:p w:rsidR="00CA0B52" w:rsidRDefault="00CA0B52" w:rsidP="00CA0B52">
      <w:pPr>
        <w:widowControl w:val="0"/>
        <w:autoSpaceDE w:val="0"/>
        <w:autoSpaceDN w:val="0"/>
        <w:adjustRightInd w:val="0"/>
        <w:rPr>
          <w:rFonts w:ascii="Arial" w:hAnsi="Arial" w:cs="Arial"/>
          <w:kern w:val="1"/>
          <w:sz w:val="28"/>
          <w:szCs w:val="28"/>
        </w:rPr>
      </w:pPr>
      <w:r>
        <w:rPr>
          <w:rFonts w:ascii="Arial" w:hAnsi="Arial" w:cs="Arial"/>
          <w:noProof/>
          <w:kern w:val="1"/>
          <w:sz w:val="28"/>
          <w:szCs w:val="28"/>
        </w:rPr>
        <w:drawing>
          <wp:inline distT="0" distB="0" distL="0" distR="0">
            <wp:extent cx="1901190" cy="19011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fldChar w:fldCharType="end"/>
      </w:r>
      <w:r>
        <w:rPr>
          <w:rFonts w:ascii="Arial" w:hAnsi="Arial" w:cs="Arial"/>
          <w:kern w:val="1"/>
          <w:sz w:val="28"/>
          <w:szCs w:val="28"/>
        </w:rPr>
        <w:t>consuming.</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The average time from synthesis of a self-originated NCE to approval of a </w:t>
      </w:r>
      <w:hyperlink r:id="rId21" w:history="1">
        <w:r>
          <w:rPr>
            <w:rFonts w:ascii="Arial" w:hAnsi="Arial" w:cs="Arial"/>
            <w:kern w:val="1"/>
            <w:sz w:val="28"/>
            <w:szCs w:val="28"/>
            <w:u w:val="single"/>
          </w:rPr>
          <w:t>new drug application</w:t>
        </w:r>
      </w:hyperlink>
      <w:r>
        <w:rPr>
          <w:rFonts w:ascii="Arial" w:hAnsi="Arial" w:cs="Arial"/>
          <w:kern w:val="1"/>
          <w:sz w:val="28"/>
          <w:szCs w:val="28"/>
        </w:rPr>
        <w:t xml:space="preserve"> (</w:t>
      </w:r>
      <w:hyperlink r:id="rId22" w:history="1">
        <w:r>
          <w:rPr>
            <w:rFonts w:ascii="Arial" w:hAnsi="Arial" w:cs="Arial"/>
            <w:kern w:val="1"/>
            <w:sz w:val="28"/>
            <w:szCs w:val="28"/>
            <w:u w:val="single"/>
          </w:rPr>
          <w:t>NDA</w:t>
        </w:r>
      </w:hyperlink>
      <w:r>
        <w:rPr>
          <w:rFonts w:ascii="Arial" w:hAnsi="Arial" w:cs="Arial"/>
          <w:kern w:val="1"/>
          <w:sz w:val="28"/>
          <w:szCs w:val="28"/>
        </w:rPr>
        <w:t xml:space="preserve">) has increased significantly, from an average 7.9 years in the 1960s to 12.8 years in the 1990s (see Figure 2). Much of the increase is due to increases in clinical trial length (the time from filing of an </w:t>
      </w:r>
      <w:hyperlink r:id="rId23" w:history="1">
        <w:r>
          <w:rPr>
            <w:rFonts w:ascii="Arial" w:hAnsi="Arial" w:cs="Arial"/>
            <w:kern w:val="1"/>
            <w:sz w:val="28"/>
            <w:szCs w:val="28"/>
            <w:u w:val="single"/>
          </w:rPr>
          <w:t>Investigational New Drug</w:t>
        </w:r>
      </w:hyperlink>
      <w:r>
        <w:rPr>
          <w:rFonts w:ascii="Arial" w:hAnsi="Arial" w:cs="Arial"/>
          <w:kern w:val="1"/>
          <w:sz w:val="28"/>
          <w:szCs w:val="28"/>
        </w:rPr>
        <w:t xml:space="preserve"> (IND) application to NDA submission). This can be attributed to a variety of factors, including increased regulatory requirements, the need for more study subjects in clinical trials, an increasing difficulty of recruiting subjects for clinical trials, and the nature of the diseases being investigated. In addition, the average number of procedures performed on patients has increased by 118% in Phase II and 51% in Phase III clinical trials (DiMasi et al., 2003).</w:t>
      </w:r>
    </w:p>
    <w:p w:rsidR="00CA0B52" w:rsidRDefault="00CA0B52" w:rsidP="00CA0B52">
      <w:pPr>
        <w:widowControl w:val="0"/>
        <w:autoSpaceDE w:val="0"/>
        <w:autoSpaceDN w:val="0"/>
        <w:adjustRightInd w:val="0"/>
        <w:rPr>
          <w:rFonts w:ascii="Arial" w:hAnsi="Arial" w:cs="Arial"/>
          <w:kern w:val="1"/>
          <w:sz w:val="28"/>
          <w:szCs w:val="28"/>
        </w:rPr>
      </w:pPr>
      <w:r>
        <w:rPr>
          <w:rFonts w:ascii="Arial" w:hAnsi="Arial" w:cs="Arial"/>
          <w:kern w:val="1"/>
          <w:sz w:val="28"/>
          <w:szCs w:val="28"/>
        </w:rPr>
        <w:fldChar w:fldCharType="begin"/>
      </w:r>
      <w:r>
        <w:rPr>
          <w:rFonts w:ascii="Arial" w:hAnsi="Arial" w:cs="Arial"/>
          <w:kern w:val="1"/>
          <w:sz w:val="28"/>
          <w:szCs w:val="28"/>
        </w:rPr>
        <w:instrText>HYPERLINK "http://www.discoverymedicine.com/Michael-Dickson/files/2009/08/dickson_22_fig2.jpg"</w:instrText>
      </w:r>
      <w:r>
        <w:rPr>
          <w:rFonts w:ascii="Arial" w:hAnsi="Arial" w:cs="Arial"/>
          <w:kern w:val="1"/>
          <w:sz w:val="28"/>
          <w:szCs w:val="28"/>
        </w:rPr>
      </w:r>
      <w:r>
        <w:rPr>
          <w:rFonts w:ascii="Arial" w:hAnsi="Arial" w:cs="Arial"/>
          <w:kern w:val="1"/>
          <w:sz w:val="28"/>
          <w:szCs w:val="28"/>
        </w:rPr>
        <w:fldChar w:fldCharType="separate"/>
      </w:r>
      <w:r>
        <w:rPr>
          <w:rFonts w:ascii="Arial" w:hAnsi="Arial" w:cs="Arial"/>
          <w:noProof/>
          <w:kern w:val="1"/>
          <w:sz w:val="28"/>
          <w:szCs w:val="28"/>
        </w:rPr>
        <w:drawing>
          <wp:inline distT="0" distB="0" distL="0" distR="0">
            <wp:extent cx="1901190" cy="190119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fldChar w:fldCharType="end"/>
      </w:r>
      <w:r>
        <w:rPr>
          <w:rFonts w:ascii="Arial" w:hAnsi="Arial" w:cs="Arial"/>
          <w:kern w:val="1"/>
          <w:sz w:val="28"/>
          <w:szCs w:val="28"/>
        </w:rPr>
        <w:t>Data from a variety of sources converge on at least two points. First, new drug development can take from 10 to 20 years with an estimated average of about 9 to 12 years. Second, this time has increased in the last 20 years, mainly owing to increased regulatory requirements and an increase in the length and complexity of clinical trials necessitated by greater emphasis on chronic conditions.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The risk component.</w:t>
      </w:r>
      <w:r>
        <w:rPr>
          <w:rFonts w:ascii="Arial" w:hAnsi="Arial" w:cs="Arial"/>
          <w:kern w:val="1"/>
          <w:sz w:val="28"/>
          <w:szCs w:val="28"/>
        </w:rPr>
        <w:t xml:space="preserve"> Risk in the </w:t>
      </w:r>
      <w:hyperlink r:id="rId25" w:history="1">
        <w:r>
          <w:rPr>
            <w:rFonts w:ascii="Arial" w:hAnsi="Arial" w:cs="Arial"/>
            <w:kern w:val="1"/>
            <w:sz w:val="28"/>
            <w:szCs w:val="28"/>
            <w:u w:val="single"/>
          </w:rPr>
          <w:t>pharmaceutical industry</w:t>
        </w:r>
      </w:hyperlink>
      <w:r>
        <w:rPr>
          <w:rFonts w:ascii="Arial" w:hAnsi="Arial" w:cs="Arial"/>
          <w:kern w:val="1"/>
          <w:sz w:val="28"/>
          <w:szCs w:val="28"/>
        </w:rPr>
        <w:t xml:space="preserve"> is the result of scientific, regulatory and economic uncertainty. The first two risks create the lengthy development time and thereby the economic risk. The longer the scientific development time, the greater the likelihood that a competitor will make the discovery first and thereby greatly diminish the possibility for a return on the R&amp;D investment of the innovator. Regulatory uncertainty occurs because the time required for new drug approval further delays product marketing, and because marketing approval is not assured.</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Pharmaceutical firms are attempting to reduce risk by making the decision to discontinue work on less promising drugs earlier. A drug may be viewed as less promising for scientific or economic reasons. A part of this rationale is that more payers are demanding evidence of cost effectiveness in their particular covered populations before agreeing to pay for a drug, thus raising the economic success bar for all drugs entering R&amp;D before they ever reach the market. The trend towards earlier abandonment of marginal drugs indicates a strategy for coping with increased risk. Another measure of risk is the rate at which drugs entering R&amp;D are approved for marketing. By one estimate, the overall success rate for all investigational drugs tested in humans anywhere in the world from 1983 to 1994 was 21.5%. In this study, the highest success rate was for anti-infectives (28.1%), whereas the lowest rate was for central nervous system drugs (14.5%). Again, the message is that the probability of success is fairly small, it is not equally distributed across therapeutic categories, and innovative drug development is a risky endeavor (DiMasi et al., 2001).</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Further evidence of risk is found in the highly skewed nature of sales for approved NCEs. For NCEs introduced between 1988 and 1992, the top decile (10%) of drugs (by sales dollars) accounted for 56% of overall sales of the cohort of NCEs studied. In practical terms, it means that unless a company can routinely and frequently develop a “blockbuster” drug, the funds to support additional research will diminish (Grabowski &amp; Verson, 2000a).</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In summary, the combination of long lead-times from discovery to NDA approval, the high probability of failure for compounds entering clinical testing, and the unpredictability of sales once a product is marketed creates a risky business environment. Decisions to fund clinical trials are critical to economic success, and the stakes increase substantially as drugs move through each successive clinical phase (Figure 3).</w:t>
      </w:r>
    </w:p>
    <w:p w:rsidR="00CA0B52" w:rsidRDefault="00CA0B52" w:rsidP="00CA0B52">
      <w:pPr>
        <w:widowControl w:val="0"/>
        <w:autoSpaceDE w:val="0"/>
        <w:autoSpaceDN w:val="0"/>
        <w:adjustRightInd w:val="0"/>
        <w:rPr>
          <w:rFonts w:ascii="Arial" w:hAnsi="Arial" w:cs="Arial"/>
          <w:i/>
          <w:iCs/>
          <w:kern w:val="1"/>
          <w:sz w:val="28"/>
          <w:szCs w:val="28"/>
        </w:rPr>
      </w:pPr>
      <w:r>
        <w:rPr>
          <w:rFonts w:ascii="Arial" w:hAnsi="Arial" w:cs="Arial"/>
          <w:kern w:val="1"/>
          <w:sz w:val="28"/>
          <w:szCs w:val="28"/>
        </w:rPr>
        <w:fldChar w:fldCharType="begin"/>
      </w:r>
      <w:r>
        <w:rPr>
          <w:rFonts w:ascii="Arial" w:hAnsi="Arial" w:cs="Arial"/>
          <w:kern w:val="1"/>
          <w:sz w:val="28"/>
          <w:szCs w:val="28"/>
        </w:rPr>
        <w:instrText>HYPERLINK "http://www.discoverymedicine.com/Michael-Dickson/files/2009/08/dickson_22_fig3.jpg"</w:instrText>
      </w:r>
      <w:r>
        <w:rPr>
          <w:rFonts w:ascii="Arial" w:hAnsi="Arial" w:cs="Arial"/>
          <w:kern w:val="1"/>
          <w:sz w:val="28"/>
          <w:szCs w:val="28"/>
        </w:rPr>
      </w:r>
      <w:r>
        <w:rPr>
          <w:rFonts w:ascii="Arial" w:hAnsi="Arial" w:cs="Arial"/>
          <w:kern w:val="1"/>
          <w:sz w:val="28"/>
          <w:szCs w:val="28"/>
        </w:rPr>
        <w:fldChar w:fldCharType="separate"/>
      </w:r>
      <w:r>
        <w:rPr>
          <w:rFonts w:ascii="Arial" w:hAnsi="Arial" w:cs="Arial"/>
          <w:i/>
          <w:iCs/>
          <w:noProof/>
          <w:kern w:val="1"/>
          <w:sz w:val="28"/>
          <w:szCs w:val="28"/>
        </w:rPr>
        <w:drawing>
          <wp:inline distT="0" distB="0" distL="0" distR="0">
            <wp:extent cx="1901190" cy="190119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fldChar w:fldCharType="end"/>
      </w:r>
      <w:r>
        <w:rPr>
          <w:rFonts w:ascii="Arial" w:hAnsi="Arial" w:cs="Arial"/>
          <w:i/>
          <w:iCs/>
          <w:kern w:val="1"/>
          <w:sz w:val="28"/>
          <w:szCs w:val="28"/>
        </w:rPr>
        <w:t>Protection of intellectual property.</w:t>
      </w:r>
      <w:r>
        <w:rPr>
          <w:rFonts w:ascii="Arial" w:hAnsi="Arial" w:cs="Arial"/>
          <w:kern w:val="1"/>
          <w:sz w:val="28"/>
          <w:szCs w:val="28"/>
        </w:rPr>
        <w:t xml:space="preserve"> Nearly all countries have some form of protection for intellectual property. Often this is a patent law that confers a monopoly on the innovator for a specified period of time. For pharmaceuticals, the most common time period is 20 years from the time the sponsor files for the patent. Intellectual property protection (in this case by patents) is important, because the cost of innovation is high, whereas the cost of imitation is low. The development costs for a new drug are essentially an investment in knowledge, whereas duplication of the new compound is a simple technical matter. This is an especially important issue in pharmaceutical research because of the long lag time from discovery of a novel compound to marketing. Although recent changes in patent law have increased the period of protection, the effective patent life was estimated to be 11.4 years for NDAs approved in 1995 (Grabowski and Vernon, 200b).</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Therapeutic competition.</w:t>
      </w:r>
      <w:r>
        <w:rPr>
          <w:rFonts w:ascii="Arial" w:hAnsi="Arial" w:cs="Arial"/>
          <w:kern w:val="1"/>
          <w:sz w:val="28"/>
          <w:szCs w:val="28"/>
        </w:rPr>
        <w:t xml:space="preserve"> The market for innovative new pharmaceuticals has become so competitive that patent life no longer confers a significant monopoly, because more than one company may be developing compounds with similar mechanisms of action, even though the chemical compounds are different and can each therefore be patented. Two recent examples illustrate this trend. Fluoxetine (</w:t>
      </w:r>
      <w:hyperlink r:id="rId27" w:history="1">
        <w:r>
          <w:rPr>
            <w:rFonts w:ascii="Arial" w:hAnsi="Arial" w:cs="Arial"/>
            <w:kern w:val="1"/>
            <w:sz w:val="28"/>
            <w:szCs w:val="28"/>
            <w:u w:val="single"/>
          </w:rPr>
          <w:t>Prozac</w:t>
        </w:r>
      </w:hyperlink>
      <w:r>
        <w:rPr>
          <w:rFonts w:ascii="Arial" w:hAnsi="Arial" w:cs="Arial"/>
          <w:kern w:val="1"/>
          <w:sz w:val="28"/>
          <w:szCs w:val="28"/>
        </w:rPr>
        <w:t xml:space="preserve">, Eli Lilly), an </w:t>
      </w:r>
      <w:hyperlink r:id="rId28" w:history="1">
        <w:r>
          <w:rPr>
            <w:rFonts w:ascii="Arial" w:hAnsi="Arial" w:cs="Arial"/>
            <w:kern w:val="1"/>
            <w:sz w:val="28"/>
            <w:szCs w:val="28"/>
            <w:u w:val="single"/>
          </w:rPr>
          <w:t>antidepressant</w:t>
        </w:r>
      </w:hyperlink>
      <w:r>
        <w:rPr>
          <w:rFonts w:ascii="Arial" w:hAnsi="Arial" w:cs="Arial"/>
          <w:kern w:val="1"/>
          <w:sz w:val="28"/>
          <w:szCs w:val="28"/>
        </w:rPr>
        <w:t xml:space="preserve">, was the first drug in the selective </w:t>
      </w:r>
      <w:hyperlink r:id="rId29" w:history="1">
        <w:r>
          <w:rPr>
            <w:rFonts w:ascii="Arial" w:hAnsi="Arial" w:cs="Arial"/>
            <w:kern w:val="1"/>
            <w:sz w:val="28"/>
            <w:szCs w:val="28"/>
            <w:u w:val="single"/>
          </w:rPr>
          <w:t>serotonin</w:t>
        </w:r>
      </w:hyperlink>
      <w:r>
        <w:rPr>
          <w:rFonts w:ascii="Arial" w:hAnsi="Arial" w:cs="Arial"/>
          <w:kern w:val="1"/>
          <w:sz w:val="28"/>
          <w:szCs w:val="28"/>
        </w:rPr>
        <w:t xml:space="preserve"> reuptake inhibitor (SSRI) therapeutic class and was approved in December 1987. The next SSRI product was sertraline (Zoloft, Pfizer), which did not receive marketing approval until four years later, but still well within the </w:t>
      </w:r>
      <w:hyperlink r:id="rId30" w:history="1">
        <w:r>
          <w:rPr>
            <w:rFonts w:ascii="Arial" w:hAnsi="Arial" w:cs="Arial"/>
            <w:kern w:val="1"/>
            <w:sz w:val="28"/>
            <w:szCs w:val="28"/>
            <w:u w:val="single"/>
          </w:rPr>
          <w:t>patent protection</w:t>
        </w:r>
      </w:hyperlink>
      <w:r>
        <w:rPr>
          <w:rFonts w:ascii="Arial" w:hAnsi="Arial" w:cs="Arial"/>
          <w:kern w:val="1"/>
          <w:sz w:val="28"/>
          <w:szCs w:val="28"/>
        </w:rPr>
        <w:t xml:space="preserve"> period for Prozac. On the other hand, </w:t>
      </w:r>
      <w:hyperlink r:id="rId31" w:history="1">
        <w:r>
          <w:rPr>
            <w:rFonts w:ascii="Arial" w:hAnsi="Arial" w:cs="Arial"/>
            <w:kern w:val="1"/>
            <w:sz w:val="28"/>
            <w:szCs w:val="28"/>
            <w:u w:val="single"/>
          </w:rPr>
          <w:t>Celecoxib</w:t>
        </w:r>
      </w:hyperlink>
      <w:r>
        <w:rPr>
          <w:rFonts w:ascii="Arial" w:hAnsi="Arial" w:cs="Arial"/>
          <w:kern w:val="1"/>
          <w:sz w:val="28"/>
          <w:szCs w:val="28"/>
        </w:rPr>
        <w:t xml:space="preserve"> (</w:t>
      </w:r>
      <w:hyperlink r:id="rId32" w:history="1">
        <w:r>
          <w:rPr>
            <w:rFonts w:ascii="Arial" w:hAnsi="Arial" w:cs="Arial"/>
            <w:kern w:val="1"/>
            <w:sz w:val="28"/>
            <w:szCs w:val="28"/>
            <w:u w:val="single"/>
          </w:rPr>
          <w:t>Celebrex</w:t>
        </w:r>
      </w:hyperlink>
      <w:r>
        <w:rPr>
          <w:rFonts w:ascii="Arial" w:hAnsi="Arial" w:cs="Arial"/>
          <w:kern w:val="1"/>
          <w:sz w:val="28"/>
          <w:szCs w:val="28"/>
        </w:rPr>
        <w:t>, Pfizer) and rofecoxib (Vioxx, Merck) were the first two COX2 inhibitors to be approved (in December 1998 and May 1999, respectively), only five months apart.</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Generic competition.</w:t>
      </w:r>
      <w:r>
        <w:rPr>
          <w:rFonts w:ascii="Arial" w:hAnsi="Arial" w:cs="Arial"/>
          <w:kern w:val="1"/>
          <w:sz w:val="28"/>
          <w:szCs w:val="28"/>
        </w:rPr>
        <w:t xml:space="preserve"> Competition from generic products is rising throughout the world. It was given a major enhancement in the US market with the 1984 passage of the Hatch-Waxman Act (also known as the Drug Price Competition and Patent Term Restoration Act). The Act had the dual purpose of restoring some of the patent erosion that occurs during clinical trials and regulatory review, while increasing price competition for pharmaceuticals by significantly reducing barriers to the entry of generic drugs following patent expiration.</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Public policy issues.</w:t>
      </w:r>
      <w:r>
        <w:rPr>
          <w:rFonts w:ascii="Arial" w:hAnsi="Arial" w:cs="Arial"/>
          <w:kern w:val="1"/>
          <w:sz w:val="28"/>
          <w:szCs w:val="28"/>
        </w:rPr>
        <w:t xml:space="preserve"> As well as the regulatory and market forces described above, there have also been significant public policy changes (in addition to the Hatch-Waxman Act) that have shaped the pharmaceutical R&amp;D environment. The impact of these changes may be difficult to quantify, but the direction of their effects can be easily discerned.</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When the Medicare Prescription Drug Improvement and Modernization Act of 2003 becomes fully implemented in 2006, pharmaceutical industry revenues will be challenged again, and consequently so will the pharmaceutical industry’s ability to fund R&amp;D (P.L. 108-173). This new Act will increase the federal control over drug use to a minimum of 29% of the population up to 36%, depending on the method of calculation. As these programs tend to cover people with greater health care needs than the general population, we can expect the federal presence to affect an even higher percentage of total expenditure than the percentage of population covered and program managers to aggressively pursue expense controls.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State Medicaid programs have restricted drug prices for many years, but recent reductions in state budgets have given rise to increased reimbursement and expenditure restrictions (e.g., higher co-payments to patients, lower provider reimbursement) and constraints on manufacturer prices. Many of these methods are not new, but their intensified use have the net effect of reducing the sales potential for innovative new products.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In the private sector also, there are changes that are likely to reduce pharmaceutical company revenue. Direct effects include more limited drug benefit programs by insurance companies and employers and increased patient co-payments. More restrictive formularies will impose new hurdles to the adoption of innovative new drugs and will reduce reimbursement levels, especially for newer drugs.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Indirect factors are likely to be just as important. Primary among these is the dwindling number of people with adequate retirement health benefits. Many employers are reducing their retirement plans and others are opting for defined contribution plans rather than defined benefit plans. Some of them are also eliminating their retiree health care coverage programs. A consequence of this will be an increase in the number of people who reach retirement with little or no health insurance, including no drug benefit. As the “baby boomers” advance toward retirement, they will create political pressure to expand the Medicare outpatient drug benefit (without increasing the total cost of health care). Finally, the rising numbers of on-line pharmacies (Canadian and elsewhere) will add weight to the government and private sector efforts to reduce pharmaceutical sales.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b/>
          <w:bCs/>
          <w:kern w:val="1"/>
          <w:sz w:val="28"/>
          <w:szCs w:val="28"/>
        </w:rPr>
        <w:t>Cost of New Drug R&amp;D</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The costs of pharmaceutical R&amp;D have been studied using several conceptual models and measurement methods. In this section, we summarize almost exclusively the results from studies of R&amp;D associated with NCEs. The studies given the most attention are based on empirical work that attempts to estimate the resource costs of new drug development.</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Review of drug development cost studies.</w:t>
      </w:r>
      <w:r>
        <w:rPr>
          <w:rFonts w:ascii="Arial" w:hAnsi="Arial" w:cs="Arial"/>
          <w:kern w:val="1"/>
          <w:sz w:val="28"/>
          <w:szCs w:val="28"/>
        </w:rPr>
        <w:t xml:space="preserve"> Each study reviewed here included the cost of failed products along with the cost of those that received approval, and R&amp;D expenditures were capitalized to the point of marketing approval or abandonment of research. Finally, each of the reviewed studies is limited to self-originated NCEs. NCEs acquired through licensing were not included because their total cost of development is unknown, and would be understated in any event (Dickson &amp; Gagnon, 2004).</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In 1979 Hansen reported on a sample of NCEs first tested in humans between 1963 and 1975 and obtained from 14 pharmaceutical firms. Using firm-level data for costs and development times for each NCE, and capitalizing expenditure to the appropriate point (NDA approval or abandonment of research), Hansen estimated the average development cost to be US $54 million in 1976 dollars.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In 1987 Wiggins modified the Hansen methodology by aggregating drugs into therapeutic classes and then by using regression techniques, estimated the average cost of new drug development to be US $125 in 1987 dollars. However, he included licensed NCEs in his estimate, which would tend to give a lower average cost than including only self-originated NCEs. Woltman adjusted the Wiggins estimate in an attempt to more completely reflect the Hansen methodology and reported an estimated average cost of US $108 million in 1987 dollars.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In 1991 DiMasi used the Hansen methodology on a sample of self-originated NCEs for 1970 to 1982 provided by 12 US-owned pharmaceutical firms to estimate the average NCE development cost at US $231 million in 1987 dollars. He replicated this study in 2003, with a few changes in the methods and estimated the cost of drug development for self-originated NCEs at US $802 million in 2000 dollars.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The US Office of Technology Assessment (OTA) conducted its own investigation into the cost of drug development for NCEs by doing a reanalysis of the 1991 DiMasi study rather than using original data. Briefly, they concluded, “…from the corroborative evidence available at the aggregate spending level that the estimates of cash outlays per successful NCE made by DiMasi are reasonably accurate.” OTA also adjusted for tax deductions and R&amp;D tax credits, which gave an estimated average cost of developing a new drug to be no more than US $237 million (in 1990 US dollars) or US $293 in 2000 US dollars (Office of Technology Assessment, 1993).</w:t>
      </w:r>
    </w:p>
    <w:p w:rsidR="00CA0B52" w:rsidRDefault="00CA0B52" w:rsidP="00CA0B52">
      <w:pPr>
        <w:widowControl w:val="0"/>
        <w:autoSpaceDE w:val="0"/>
        <w:autoSpaceDN w:val="0"/>
        <w:adjustRightInd w:val="0"/>
        <w:rPr>
          <w:rFonts w:ascii="Arial" w:hAnsi="Arial" w:cs="Arial"/>
          <w:kern w:val="1"/>
          <w:sz w:val="28"/>
          <w:szCs w:val="28"/>
        </w:rPr>
      </w:pPr>
      <w:r>
        <w:rPr>
          <w:rFonts w:ascii="Arial" w:hAnsi="Arial" w:cs="Arial"/>
          <w:kern w:val="1"/>
          <w:sz w:val="28"/>
          <w:szCs w:val="28"/>
        </w:rPr>
        <w:fldChar w:fldCharType="begin"/>
      </w:r>
      <w:r>
        <w:rPr>
          <w:rFonts w:ascii="Arial" w:hAnsi="Arial" w:cs="Arial"/>
          <w:kern w:val="1"/>
          <w:sz w:val="28"/>
          <w:szCs w:val="28"/>
        </w:rPr>
        <w:instrText>HYPERLINK "http://www.discoverymedicine.com/Michael-Dickson/files/2009/08/dickson_22_tab1.jpg"</w:instrText>
      </w:r>
      <w:r>
        <w:rPr>
          <w:rFonts w:ascii="Arial" w:hAnsi="Arial" w:cs="Arial"/>
          <w:kern w:val="1"/>
          <w:sz w:val="28"/>
          <w:szCs w:val="28"/>
        </w:rPr>
      </w:r>
      <w:r>
        <w:rPr>
          <w:rFonts w:ascii="Arial" w:hAnsi="Arial" w:cs="Arial"/>
          <w:kern w:val="1"/>
          <w:sz w:val="28"/>
          <w:szCs w:val="28"/>
        </w:rPr>
        <w:fldChar w:fldCharType="separate"/>
      </w:r>
      <w:r>
        <w:rPr>
          <w:rFonts w:ascii="Arial" w:hAnsi="Arial" w:cs="Arial"/>
          <w:noProof/>
          <w:kern w:val="1"/>
          <w:sz w:val="28"/>
          <w:szCs w:val="28"/>
        </w:rPr>
        <w:drawing>
          <wp:inline distT="0" distB="0" distL="0" distR="0">
            <wp:extent cx="1901190" cy="19011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fldChar w:fldCharType="end"/>
      </w:r>
      <w:r>
        <w:rPr>
          <w:rFonts w:ascii="Arial" w:hAnsi="Arial" w:cs="Arial"/>
          <w:kern w:val="1"/>
          <w:sz w:val="28"/>
          <w:szCs w:val="28"/>
        </w:rPr>
        <w:t>Public Citizen (a national consumer group) has raised numerous concerns about the 1991 DiMasi study. They argue that the cost of capital should not be included in the cost of drug development and they also removed their own estimates of tax credits and deductions to give an estimated cost for drug development of US $110.2 million in 2000 dollars. Public Citizen removed the opportunity cost of capital, because in their words, it is a “…theoretical calculation of what R&amp;D expenditures might be worth if they were invested elsewhere” (Public Citizen, 2001). Virtually all economists would argue there is nothing theoretical about the cost of capital. Public Citizen raised similar concerns about the 2003 DiMasi study, but did not offer any additional analysis. DiMasi and others have repudiated their assessment, arguing that the aim of the 2003 study was to estimate resource costs, not effective cost to firms. Finally, they characterize exclusion of the cost of capital by Public Citizen as a major methodological flaw.</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Summary of cost studies.</w:t>
      </w:r>
      <w:r>
        <w:rPr>
          <w:rFonts w:ascii="Arial" w:hAnsi="Arial" w:cs="Arial"/>
          <w:kern w:val="1"/>
          <w:sz w:val="28"/>
          <w:szCs w:val="28"/>
        </w:rPr>
        <w:t xml:space="preserve"> This discussion documents that the rapidly rising cost of pharmaceutical R&amp;D is due mainly to the increased cost of animal testing and conducting clinical trials. The best estimate of the costs of drug R&amp;D today is likely to be that from the most recently available well-designed study; that is, US $802 million. We also should note that improvements in the drug development process would yield significant improvements in this picture. DiMasi has calculated that a 25% reduction in clinical phase lengths would reduce total capitalized drug development costs by 16% (approximately US $129 million). He also reports that improving success rates from the current 21.5% to 33.3% would yield a reduction of US $221 million in capitalized cost per NCE.</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b/>
          <w:bCs/>
          <w:kern w:val="1"/>
          <w:sz w:val="28"/>
          <w:szCs w:val="28"/>
        </w:rPr>
        <w:t>The societal value of pharmaceutical R&amp;D investment</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A theoretical model demonstrating the connections between pharmaceutical R&amp;D and societal value is shown in Figure 4.</w:t>
      </w:r>
    </w:p>
    <w:p w:rsidR="00CA0B52" w:rsidRDefault="00CA0B52" w:rsidP="00CA0B52">
      <w:pPr>
        <w:widowControl w:val="0"/>
        <w:autoSpaceDE w:val="0"/>
        <w:autoSpaceDN w:val="0"/>
        <w:adjustRightInd w:val="0"/>
        <w:rPr>
          <w:rFonts w:ascii="Arial" w:hAnsi="Arial" w:cs="Arial"/>
          <w:kern w:val="1"/>
          <w:sz w:val="28"/>
          <w:szCs w:val="28"/>
        </w:rPr>
      </w:pPr>
      <w:r>
        <w:rPr>
          <w:rFonts w:ascii="Arial" w:hAnsi="Arial" w:cs="Arial"/>
          <w:kern w:val="1"/>
          <w:sz w:val="28"/>
          <w:szCs w:val="28"/>
        </w:rPr>
        <w:fldChar w:fldCharType="begin"/>
      </w:r>
      <w:r>
        <w:rPr>
          <w:rFonts w:ascii="Arial" w:hAnsi="Arial" w:cs="Arial"/>
          <w:kern w:val="1"/>
          <w:sz w:val="28"/>
          <w:szCs w:val="28"/>
        </w:rPr>
        <w:instrText>HYPERLINK "http://www.discoverymedicine.com/Michael-Dickson/files/2009/08/dickson_22_fig4.jpg"</w:instrText>
      </w:r>
      <w:r>
        <w:rPr>
          <w:rFonts w:ascii="Arial" w:hAnsi="Arial" w:cs="Arial"/>
          <w:kern w:val="1"/>
          <w:sz w:val="28"/>
          <w:szCs w:val="28"/>
        </w:rPr>
      </w:r>
      <w:r>
        <w:rPr>
          <w:rFonts w:ascii="Arial" w:hAnsi="Arial" w:cs="Arial"/>
          <w:kern w:val="1"/>
          <w:sz w:val="28"/>
          <w:szCs w:val="28"/>
        </w:rPr>
        <w:fldChar w:fldCharType="separate"/>
      </w:r>
      <w:r>
        <w:rPr>
          <w:rFonts w:ascii="Arial" w:hAnsi="Arial" w:cs="Arial"/>
          <w:noProof/>
          <w:kern w:val="1"/>
          <w:sz w:val="28"/>
          <w:szCs w:val="28"/>
        </w:rPr>
        <w:drawing>
          <wp:inline distT="0" distB="0" distL="0" distR="0" wp14:anchorId="3D94BCE3" wp14:editId="0E1F2F1A">
            <wp:extent cx="1901190" cy="19011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fldChar w:fldCharType="end"/>
      </w:r>
      <w:r>
        <w:rPr>
          <w:rFonts w:ascii="Arial" w:hAnsi="Arial" w:cs="Arial"/>
          <w:kern w:val="1"/>
          <w:sz w:val="28"/>
          <w:szCs w:val="28"/>
        </w:rPr>
        <w:t>Any adverse disturbance to the scientific research, regulation or use of pharmaceuticals will have detrimental effects on social value. Likewise, any disruption in the flow of funding from sales to R&amp;D will lead to diminished social returns. Figure 4 also shows that opportunities to improve societal benefits can come from multiple pathways, including a more efficient development process, a favorable regulatory environment, and improved use of drugs.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Value of new drugs.</w:t>
      </w:r>
      <w:r>
        <w:rPr>
          <w:rFonts w:ascii="Arial" w:hAnsi="Arial" w:cs="Arial"/>
          <w:kern w:val="1"/>
          <w:sz w:val="28"/>
          <w:szCs w:val="28"/>
        </w:rPr>
        <w:t xml:space="preserve"> At a time when pharmaceutical expenditure is rising and the cost of pharmaceutical R&amp;D is being criticized, it is appropriate to ask whether innovative drugs provide value for money. This is a germane question, as attempts to reduce pharmaceutical expenditure generally focus on constraining the use of newer drugs. Does such a strategy have adverse consequences for today’s </w:t>
      </w:r>
      <w:hyperlink r:id="rId35" w:history="1">
        <w:r>
          <w:rPr>
            <w:rFonts w:ascii="Arial" w:hAnsi="Arial" w:cs="Arial"/>
            <w:kern w:val="1"/>
            <w:sz w:val="28"/>
            <w:szCs w:val="28"/>
            <w:u w:val="single"/>
          </w:rPr>
          <w:t>pharmacotherapy</w:t>
        </w:r>
      </w:hyperlink>
      <w:r>
        <w:rPr>
          <w:rFonts w:ascii="Arial" w:hAnsi="Arial" w:cs="Arial"/>
          <w:kern w:val="1"/>
          <w:sz w:val="28"/>
          <w:szCs w:val="28"/>
        </w:rPr>
        <w:t xml:space="preserve"> and tomorrow’s innovations?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As just one example, Fuchs examined inflation-adjusted Medicare expenditure and found that it increased at 4-5% per recipient per year at the same time that GDP was increasing at 1.2% annually (Fuchs, 1999). He attributed the increase to the use of new medical technologies (including drugs) and suggested that there was a positive effect on </w:t>
      </w:r>
      <w:hyperlink r:id="rId36" w:history="1">
        <w:r>
          <w:rPr>
            <w:rFonts w:ascii="Arial" w:hAnsi="Arial" w:cs="Arial"/>
            <w:kern w:val="1"/>
            <w:sz w:val="28"/>
            <w:szCs w:val="28"/>
            <w:u w:val="single"/>
          </w:rPr>
          <w:t>life expectancy</w:t>
        </w:r>
      </w:hyperlink>
      <w:r>
        <w:rPr>
          <w:rFonts w:ascii="Arial" w:hAnsi="Arial" w:cs="Arial"/>
          <w:kern w:val="1"/>
          <w:sz w:val="28"/>
          <w:szCs w:val="28"/>
        </w:rPr>
        <w:t xml:space="preserve"> and the health status of the elderly. Other investigators have made similar observations and noted that improvements in life expectancy rarely translate into a lower cost of care over a person’s lifetime. For example, use of </w:t>
      </w:r>
      <w:hyperlink r:id="rId37" w:history="1">
        <w:r>
          <w:rPr>
            <w:rFonts w:ascii="Arial" w:hAnsi="Arial" w:cs="Arial"/>
            <w:kern w:val="1"/>
            <w:sz w:val="28"/>
            <w:szCs w:val="28"/>
            <w:u w:val="single"/>
          </w:rPr>
          <w:t>antibiotics</w:t>
        </w:r>
      </w:hyperlink>
      <w:r>
        <w:rPr>
          <w:rFonts w:ascii="Arial" w:hAnsi="Arial" w:cs="Arial"/>
          <w:kern w:val="1"/>
          <w:sz w:val="28"/>
          <w:szCs w:val="28"/>
        </w:rPr>
        <w:t xml:space="preserve"> to prevent deaths from infections can cause people to live longer and hence to die from heart disease and cancer, which typically entail even greater costs. This is the dilemma and the lesson; the value of pharmaceutical innovations often cannot be captured in conventional accounting calculations.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i/>
          <w:iCs/>
          <w:kern w:val="1"/>
          <w:sz w:val="28"/>
          <w:szCs w:val="28"/>
        </w:rPr>
        <w:t>Value and cost summary.</w:t>
      </w:r>
      <w:r>
        <w:rPr>
          <w:rFonts w:ascii="Arial" w:hAnsi="Arial" w:cs="Arial"/>
          <w:kern w:val="1"/>
          <w:sz w:val="28"/>
          <w:szCs w:val="28"/>
        </w:rPr>
        <w:t xml:space="preserve"> Pharmaceuticals create value in terms of reduced non-drug healthcare expenditure as well as contributing to improvements in patient quality-of-life that often defy quantification. But what about the cost of these benefits in terms of R&amp;D investment and payments for using the products? In addressing this issue, we assume that few would want to turn back the medical care clock to the time when mercurial diuretics and sulfonamides were standards of care. The more pertinent question then is, how to adequately finance pharmaceutical R&amp;D?</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b/>
          <w:bCs/>
          <w:kern w:val="1"/>
          <w:sz w:val="28"/>
          <w:szCs w:val="28"/>
        </w:rPr>
        <w:t>Summary and conclusions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The task of discovering and developing novel NCEs is unusual, if not unique, among business enterprises because it is financed almost entirely by the private sector although many regard the results, such as improved health, as a public benefit. The private sector status of pharmaceutical research means that the industry must generate sufficient income (and make a sufficient return on investment) to cover the cost of developing the next generation of NCEs. Since health care is viewed differently than consumer products, the drug development activities of the pharmaceutical industry are examined closely and subjected to a higher standard of performance than other private sector businesses. There is an expectation that pharmaceuticals will be generally affordable, and that industry resources will be used to develop needed therapies.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This situation begs the question: what is the most efficient means of moving NCEs from the laboratory to the consumer? Is it the current model dominated by large pharmaceutical companies engaged in the complete range of activities from research to marketing? Or has research become so specialized that it is more efficient to foster the growth of smaller, more specialized research-only companies, as some have suggested? Regardless of the answer, it is clear that drug development will remain in the private sector rather than being nationalized or funded by the government. However, government is assuming a larger role in paying for innovative new drugs and therefore has a stake in the efficiency of the development process.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Traditionally, the cost of drug therapy has been principally the concern of patients, because lower efficiency translated into higher prices for them. However, Redwood has postulated a “progressive fragmentation” of power in health care that presents new opportunities for pharmaceutical companies and shifts industry alliances (Redwood, 2002). He argues that as government pays more of the cost of pharmaceuticals, they see innovative new products as a threat, whereas patients are more likely to have a positive attitude towards innovation, especially where the drug benefit is subsidized. The public desire for new therapies, their increasing cost, and the increased role of government as a payer for innovative new drugs, all converge on the question of the cost of new drug development and argue for an efficient use of resources. The issue of drug development cost is therefore woven into many aspects of health care policy.</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b/>
          <w:bCs/>
          <w:kern w:val="1"/>
          <w:sz w:val="28"/>
          <w:szCs w:val="28"/>
        </w:rPr>
        <w:t>References and Further Readings</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Factual information cited in this paper is taken directly or indirectly from one or more of the sources cited here.</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Dickson M, Gagnon JP. Key factors in the rising cost of new </w:t>
      </w:r>
      <w:hyperlink r:id="rId38" w:history="1">
        <w:r>
          <w:rPr>
            <w:rFonts w:ascii="Arial" w:hAnsi="Arial" w:cs="Arial"/>
            <w:kern w:val="1"/>
            <w:sz w:val="28"/>
            <w:szCs w:val="28"/>
            <w:u w:val="single"/>
          </w:rPr>
          <w:t>drug discovery</w:t>
        </w:r>
      </w:hyperlink>
      <w:r>
        <w:rPr>
          <w:rFonts w:ascii="Arial" w:hAnsi="Arial" w:cs="Arial"/>
          <w:kern w:val="1"/>
          <w:sz w:val="28"/>
          <w:szCs w:val="28"/>
        </w:rPr>
        <w:t xml:space="preserve"> and development. </w:t>
      </w:r>
      <w:r>
        <w:rPr>
          <w:rFonts w:ascii="Arial" w:hAnsi="Arial" w:cs="Arial"/>
          <w:i/>
          <w:iCs/>
          <w:kern w:val="1"/>
          <w:sz w:val="28"/>
          <w:szCs w:val="28"/>
        </w:rPr>
        <w:t>Nature Reviews Drug Discovery</w:t>
      </w:r>
      <w:r>
        <w:rPr>
          <w:rFonts w:ascii="Arial" w:hAnsi="Arial" w:cs="Arial"/>
          <w:kern w:val="1"/>
          <w:sz w:val="28"/>
          <w:szCs w:val="28"/>
        </w:rPr>
        <w:t xml:space="preserve"> 3:417-429, 2004.</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DiMasi JA. Risks in new drug development: approval success rates for investigational drugs. </w:t>
      </w:r>
      <w:hyperlink r:id="rId39" w:history="1">
        <w:r>
          <w:rPr>
            <w:rFonts w:ascii="Arial" w:hAnsi="Arial" w:cs="Arial"/>
            <w:i/>
            <w:iCs/>
            <w:kern w:val="1"/>
            <w:sz w:val="28"/>
            <w:szCs w:val="28"/>
            <w:u w:val="single"/>
          </w:rPr>
          <w:t>Clinical Pharmacology</w:t>
        </w:r>
      </w:hyperlink>
      <w:r>
        <w:rPr>
          <w:rFonts w:ascii="Arial" w:hAnsi="Arial" w:cs="Arial"/>
          <w:i/>
          <w:iCs/>
          <w:kern w:val="1"/>
          <w:sz w:val="28"/>
          <w:szCs w:val="28"/>
        </w:rPr>
        <w:t xml:space="preserve"> &amp; Therapeutics</w:t>
      </w:r>
      <w:r>
        <w:rPr>
          <w:rFonts w:ascii="Arial" w:hAnsi="Arial" w:cs="Arial"/>
          <w:kern w:val="1"/>
          <w:sz w:val="28"/>
          <w:szCs w:val="28"/>
        </w:rPr>
        <w:t xml:space="preserve"> 69:297-307, 2001.</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DiMasi JA, Hansen RW, Grabowski HG. The price of innovation: new estimates of drug development costs. </w:t>
      </w:r>
      <w:r>
        <w:rPr>
          <w:rFonts w:ascii="Arial" w:hAnsi="Arial" w:cs="Arial"/>
          <w:i/>
          <w:iCs/>
          <w:kern w:val="1"/>
          <w:sz w:val="28"/>
          <w:szCs w:val="28"/>
        </w:rPr>
        <w:t>Journal of Health Economics</w:t>
      </w:r>
      <w:r>
        <w:rPr>
          <w:rFonts w:ascii="Arial" w:hAnsi="Arial" w:cs="Arial"/>
          <w:kern w:val="1"/>
          <w:sz w:val="28"/>
          <w:szCs w:val="28"/>
        </w:rPr>
        <w:t>, 22:151-185, 2003.</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Fuchs VR. Health care for the elderly: How much? Who will pay for it? </w:t>
      </w:r>
      <w:r>
        <w:rPr>
          <w:rFonts w:ascii="Arial" w:hAnsi="Arial" w:cs="Arial"/>
          <w:i/>
          <w:iCs/>
          <w:kern w:val="1"/>
          <w:sz w:val="28"/>
          <w:szCs w:val="28"/>
        </w:rPr>
        <w:t>Health Affairs</w:t>
      </w:r>
      <w:r>
        <w:rPr>
          <w:rFonts w:ascii="Arial" w:hAnsi="Arial" w:cs="Arial"/>
          <w:kern w:val="1"/>
          <w:sz w:val="28"/>
          <w:szCs w:val="28"/>
        </w:rPr>
        <w:t xml:space="preserve"> 18:11-21, 1999.</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Grabowski HG and Vernon J. The distribution of sales revenues from pharmaceutical innovation. </w:t>
      </w:r>
      <w:r>
        <w:rPr>
          <w:rFonts w:ascii="Arial" w:hAnsi="Arial" w:cs="Arial"/>
          <w:i/>
          <w:iCs/>
          <w:kern w:val="1"/>
          <w:sz w:val="28"/>
          <w:szCs w:val="28"/>
        </w:rPr>
        <w:t>Pharmacoeconomics</w:t>
      </w:r>
      <w:r>
        <w:rPr>
          <w:rFonts w:ascii="Arial" w:hAnsi="Arial" w:cs="Arial"/>
          <w:kern w:val="1"/>
          <w:sz w:val="28"/>
          <w:szCs w:val="28"/>
        </w:rPr>
        <w:t xml:space="preserve"> 18(S1):21-32, 2000a.</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 xml:space="preserve">Grabowski HG and Vernon J. Effective patent life in pharmaceuticals. </w:t>
      </w:r>
      <w:r>
        <w:rPr>
          <w:rFonts w:ascii="Arial" w:hAnsi="Arial" w:cs="Arial"/>
          <w:i/>
          <w:iCs/>
          <w:kern w:val="1"/>
          <w:sz w:val="28"/>
          <w:szCs w:val="28"/>
        </w:rPr>
        <w:t>International Journal of Technology Management</w:t>
      </w:r>
      <w:r>
        <w:rPr>
          <w:rFonts w:ascii="Arial" w:hAnsi="Arial" w:cs="Arial"/>
          <w:kern w:val="1"/>
          <w:sz w:val="28"/>
          <w:szCs w:val="28"/>
        </w:rPr>
        <w:t xml:space="preserve"> 19:98-120, 200b.</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Office of Technology Assessment, US Congress. Pharmaceutical R&amp;D: Costs, Risks, and Rewards, OTA-H-522. US Government Printing Office, Washington, DC, 1993.</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P.L. 108-173, Medicare Prescription Drug Improvement and Modernization Act, 2003.</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Public Citizen Congress Watch 2001. Rx R&amp;D Myths: The Case Against the Drug Industry’s R&amp;D ‘Scare Card’. Public Citizen, Washington, DC, 2001.</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Redwood H. Where is the pharma industry going: Insights for the new millennium. PJB Publications, London, 2002.</w:t>
      </w:r>
    </w:p>
    <w:p w:rsidR="00CA0B52" w:rsidRDefault="00CA0B52" w:rsidP="00CA0B52">
      <w:pPr>
        <w:widowControl w:val="0"/>
        <w:autoSpaceDE w:val="0"/>
        <w:autoSpaceDN w:val="0"/>
        <w:adjustRightInd w:val="0"/>
        <w:spacing w:after="300"/>
        <w:rPr>
          <w:rFonts w:ascii="Arial" w:hAnsi="Arial" w:cs="Arial"/>
          <w:kern w:val="1"/>
          <w:sz w:val="28"/>
          <w:szCs w:val="28"/>
        </w:rPr>
      </w:pPr>
      <w:r>
        <w:rPr>
          <w:rFonts w:ascii="Arial" w:hAnsi="Arial" w:cs="Arial"/>
          <w:kern w:val="1"/>
          <w:sz w:val="28"/>
          <w:szCs w:val="28"/>
        </w:rPr>
        <w:t>[Discovery Medicine, 4(22):172-179, 2004]</w:t>
      </w:r>
    </w:p>
    <w:p w:rsidR="00CA0B52" w:rsidRDefault="00CA0B52" w:rsidP="00CA0B52">
      <w:pPr>
        <w:widowControl w:val="0"/>
        <w:autoSpaceDE w:val="0"/>
        <w:autoSpaceDN w:val="0"/>
        <w:adjustRightInd w:val="0"/>
        <w:rPr>
          <w:rFonts w:ascii="Arial" w:hAnsi="Arial" w:cs="Arial"/>
          <w:b/>
          <w:bCs/>
          <w:color w:val="1A1A1A"/>
          <w:spacing w:val="-20"/>
          <w:kern w:val="1"/>
          <w:sz w:val="36"/>
          <w:szCs w:val="36"/>
        </w:rPr>
      </w:pPr>
      <w:r>
        <w:rPr>
          <w:rFonts w:ascii="Arial" w:hAnsi="Arial" w:cs="Arial"/>
          <w:b/>
          <w:bCs/>
          <w:color w:val="1A1A1A"/>
          <w:spacing w:val="-20"/>
          <w:kern w:val="1"/>
          <w:sz w:val="36"/>
          <w:szCs w:val="36"/>
        </w:rPr>
        <w:t>Related Articles</w:t>
      </w:r>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Jul 17, 2009 </w:t>
      </w:r>
      <w:hyperlink r:id="rId40" w:history="1">
        <w:r>
          <w:rPr>
            <w:rFonts w:ascii="Arial" w:hAnsi="Arial" w:cs="Arial"/>
            <w:kern w:val="1"/>
            <w:sz w:val="26"/>
            <w:szCs w:val="26"/>
            <w:u w:val="single"/>
          </w:rPr>
          <w:t>Macro Trends in Pharmaceutical Innovation</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Apr 21, 2011 </w:t>
      </w:r>
      <w:hyperlink r:id="rId41" w:history="1">
        <w:r>
          <w:rPr>
            <w:rFonts w:ascii="Arial" w:hAnsi="Arial" w:cs="Arial"/>
            <w:kern w:val="1"/>
            <w:sz w:val="26"/>
            <w:szCs w:val="26"/>
            <w:u w:val="single"/>
          </w:rPr>
          <w:t>Regulatory Considerations for Developing Drugs for Rare Diseases: Orphan Designations and Early Phase Clinical Trials</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Jul 25, 2009 </w:t>
      </w:r>
      <w:hyperlink r:id="rId42" w:history="1">
        <w:r>
          <w:rPr>
            <w:rFonts w:ascii="Arial" w:hAnsi="Arial" w:cs="Arial"/>
            <w:kern w:val="1"/>
            <w:sz w:val="26"/>
            <w:szCs w:val="26"/>
            <w:u w:val="single"/>
          </w:rPr>
          <w:t>How Molecular Profiling Is Transforming Drug Discovery</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Jul 26, 2009 </w:t>
      </w:r>
      <w:hyperlink r:id="rId43" w:history="1">
        <w:r>
          <w:rPr>
            <w:rFonts w:ascii="Arial" w:hAnsi="Arial" w:cs="Arial"/>
            <w:kern w:val="1"/>
            <w:sz w:val="26"/>
            <w:szCs w:val="26"/>
            <w:u w:val="single"/>
          </w:rPr>
          <w:t>Translational Research in the Development of Bortezomib: A Core Model</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Jun 17, 2009 </w:t>
      </w:r>
      <w:hyperlink r:id="rId44" w:history="1">
        <w:r>
          <w:rPr>
            <w:rFonts w:ascii="Arial" w:hAnsi="Arial" w:cs="Arial"/>
            <w:kern w:val="1"/>
            <w:sz w:val="26"/>
            <w:szCs w:val="26"/>
            <w:u w:val="single"/>
          </w:rPr>
          <w:t>FDA Issues Guidance on Pharmacogenomics Data</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May 25, 2009 </w:t>
      </w:r>
      <w:hyperlink r:id="rId45" w:history="1">
        <w:r>
          <w:rPr>
            <w:rFonts w:ascii="Arial" w:hAnsi="Arial" w:cs="Arial"/>
            <w:kern w:val="1"/>
            <w:sz w:val="26"/>
            <w:szCs w:val="26"/>
            <w:u w:val="single"/>
          </w:rPr>
          <w:t>Industry Trends: Pacing Discoveries -- Traditional Lab Work vs. High-tech Machinery</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Jul 17, 2009 </w:t>
      </w:r>
      <w:hyperlink r:id="rId46" w:history="1">
        <w:r>
          <w:rPr>
            <w:rFonts w:ascii="Arial" w:hAnsi="Arial" w:cs="Arial"/>
            <w:kern w:val="1"/>
            <w:sz w:val="26"/>
            <w:szCs w:val="26"/>
            <w:u w:val="single"/>
          </w:rPr>
          <w:t>Rediscovering Natural Products as a Source of New Drugs</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Oct 26, 2010 </w:t>
      </w:r>
      <w:hyperlink r:id="rId47" w:history="1">
        <w:r>
          <w:rPr>
            <w:rFonts w:ascii="Arial" w:hAnsi="Arial" w:cs="Arial"/>
            <w:kern w:val="1"/>
            <w:sz w:val="26"/>
            <w:szCs w:val="26"/>
            <w:u w:val="single"/>
          </w:rPr>
          <w:t>Development of Anti-cancer Drugs</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Sep 23, 2011 </w:t>
      </w:r>
      <w:hyperlink r:id="rId48" w:history="1">
        <w:r>
          <w:rPr>
            <w:rFonts w:ascii="Arial" w:hAnsi="Arial" w:cs="Arial"/>
            <w:kern w:val="1"/>
            <w:sz w:val="26"/>
            <w:szCs w:val="26"/>
            <w:u w:val="single"/>
          </w:rPr>
          <w:t>Arrest All Accessories -- Inhibition of Hepatitis C Virus by Compounds that Target Host Factors</w:t>
        </w:r>
      </w:hyperlink>
    </w:p>
    <w:p w:rsidR="00CA0B52" w:rsidRDefault="00CA0B52" w:rsidP="00CA0B52">
      <w:pPr>
        <w:widowControl w:val="0"/>
        <w:numPr>
          <w:ilvl w:val="0"/>
          <w:numId w:val="2"/>
        </w:numPr>
        <w:tabs>
          <w:tab w:val="left" w:pos="220"/>
          <w:tab w:val="left" w:pos="720"/>
        </w:tabs>
        <w:autoSpaceDE w:val="0"/>
        <w:autoSpaceDN w:val="0"/>
        <w:adjustRightInd w:val="0"/>
        <w:ind w:hanging="720"/>
        <w:rPr>
          <w:rFonts w:ascii="Arial" w:hAnsi="Arial" w:cs="Arial"/>
          <w:kern w:val="1"/>
          <w:sz w:val="26"/>
          <w:szCs w:val="26"/>
        </w:rPr>
      </w:pPr>
      <w:r>
        <w:rPr>
          <w:rFonts w:ascii="Arial" w:hAnsi="Arial" w:cs="Arial"/>
          <w:kern w:val="1"/>
          <w:sz w:val="26"/>
          <w:szCs w:val="26"/>
        </w:rPr>
        <w:t xml:space="preserve">Feb 15, 2011 </w:t>
      </w:r>
      <w:hyperlink r:id="rId49" w:history="1">
        <w:r>
          <w:rPr>
            <w:rFonts w:ascii="Arial" w:hAnsi="Arial" w:cs="Arial"/>
            <w:kern w:val="1"/>
            <w:sz w:val="26"/>
            <w:szCs w:val="26"/>
            <w:u w:val="single"/>
          </w:rPr>
          <w:t>Analysis of Information Flows in Interaction Networks: Implication for Drug Discovery and Pharmacological Research</w:t>
        </w:r>
      </w:hyperlink>
    </w:p>
    <w:p w:rsidR="002A1634" w:rsidRDefault="00CA0B52" w:rsidP="00CA0B52">
      <w:pPr>
        <w:rPr>
          <w:rFonts w:ascii="Arial" w:hAnsi="Arial" w:cs="Arial"/>
          <w:kern w:val="1"/>
          <w:sz w:val="26"/>
          <w:szCs w:val="26"/>
        </w:rPr>
      </w:pPr>
      <w:hyperlink r:id="rId50" w:history="1">
        <w:r>
          <w:rPr>
            <w:rFonts w:ascii="Arial" w:hAnsi="Arial" w:cs="Arial"/>
            <w:kern w:val="1"/>
            <w:sz w:val="26"/>
            <w:szCs w:val="26"/>
            <w:u w:val="single"/>
          </w:rPr>
          <w:t>More Related Articles</w:t>
        </w:r>
      </w:hyperlink>
    </w:p>
    <w:p w:rsidR="00CA0B52" w:rsidRDefault="00CA0B52" w:rsidP="00CA0B52">
      <w:pPr>
        <w:rPr>
          <w:rFonts w:ascii="Arial" w:hAnsi="Arial" w:cs="Arial"/>
          <w:kern w:val="1"/>
          <w:sz w:val="26"/>
          <w:szCs w:val="26"/>
        </w:rPr>
      </w:pPr>
    </w:p>
    <w:p w:rsidR="00CA0B52" w:rsidRDefault="00CA0B52" w:rsidP="00CA0B52">
      <w:pPr>
        <w:rPr>
          <w:rFonts w:ascii="Arial" w:hAnsi="Arial" w:cs="Arial"/>
          <w:kern w:val="1"/>
          <w:sz w:val="26"/>
          <w:szCs w:val="26"/>
        </w:rPr>
      </w:pPr>
    </w:p>
    <w:p w:rsidR="00CA0B52" w:rsidRDefault="00CA0B52" w:rsidP="00CA0B52"/>
    <w:sectPr w:rsidR="00CA0B52" w:rsidSect="004E1022">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B52"/>
    <w:rsid w:val="002A1634"/>
    <w:rsid w:val="004E1022"/>
    <w:rsid w:val="00CA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99D2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B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B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B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B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discoverymedicine.com/Frank-E-Koehn/2009/07/17/rediscovering-natural-products-as-a-source-of-new-drugs/" TargetMode="External"/><Relationship Id="rId47" Type="http://schemas.openxmlformats.org/officeDocument/2006/relationships/hyperlink" Target="http://www.discoverymedicine.com/Jennifer-Arrondeau/2010/10/26/development-of-anti-cancer-drugs/" TargetMode="External"/><Relationship Id="rId48" Type="http://schemas.openxmlformats.org/officeDocument/2006/relationships/hyperlink" Target="http://www.discoverymedicine.com/Thomas-Von-Hahn/2011/09/23/arrest-all-accessories-inhibition-of-hepatitis-c-virus-by-compounds-that-target-host-factors/" TargetMode="External"/><Relationship Id="rId49" Type="http://schemas.openxmlformats.org/officeDocument/2006/relationships/hyperlink" Target="http://www.discoverymedicine.com/Anton-F-Fliri/2011/02/15/analysis-of-information-flows-in-interaction-networks-implication-for-drug-discovery-and-pharmacological-research/" TargetMode="External"/><Relationship Id="rId20" Type="http://schemas.openxmlformats.org/officeDocument/2006/relationships/image" Target="media/image1.jpeg"/><Relationship Id="rId21" Type="http://schemas.openxmlformats.org/officeDocument/2006/relationships/hyperlink" Target="http://www.discoverymedicine.com/category/pharmaceutical-and-healthcare-industry/fda-drug-regulation/new-drug-application/" TargetMode="External"/><Relationship Id="rId22" Type="http://schemas.openxmlformats.org/officeDocument/2006/relationships/hyperlink" Target="http://www.discoverymedicine.com/tag/nda/" TargetMode="External"/><Relationship Id="rId23" Type="http://schemas.openxmlformats.org/officeDocument/2006/relationships/hyperlink" Target="http://www.discoverymedicine.com/category/pharmaceutical-and-healthcare-industry/fda-drug-regulation/investigational-new-drug/" TargetMode="External"/><Relationship Id="rId24" Type="http://schemas.openxmlformats.org/officeDocument/2006/relationships/image" Target="media/image2.jpeg"/><Relationship Id="rId25" Type="http://schemas.openxmlformats.org/officeDocument/2006/relationships/hyperlink" Target="http://www.discoverymedicine.com/category/pharmaceutical-and-healthcare-industry/pharmaceutical-industry/" TargetMode="External"/><Relationship Id="rId26" Type="http://schemas.openxmlformats.org/officeDocument/2006/relationships/image" Target="media/image3.jpeg"/><Relationship Id="rId27" Type="http://schemas.openxmlformats.org/officeDocument/2006/relationships/hyperlink" Target="http://www.discoverymedicine.com/category/medical-specialties/psychiatry/depression/prozac/" TargetMode="External"/><Relationship Id="rId28" Type="http://schemas.openxmlformats.org/officeDocument/2006/relationships/hyperlink" Target="http://www.discoverymedicine.com/category/medical-specialties/psychiatry/depression/antidepressant-depression-psychiatry-medical-specialties/" TargetMode="External"/><Relationship Id="rId29" Type="http://schemas.openxmlformats.org/officeDocument/2006/relationships/hyperlink" Target="http://www.discoverymedicine.com/tag/serotonin/" TargetMode="External"/><Relationship Id="rId50" Type="http://schemas.openxmlformats.org/officeDocument/2006/relationships/hyperlink" Target="http://www.discoverymedicine.com/related/49/2/" TargetMode="Externa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discoverymedicine.com/tag/patent-protection/" TargetMode="External"/><Relationship Id="rId31" Type="http://schemas.openxmlformats.org/officeDocument/2006/relationships/hyperlink" Target="http://www.discoverymedicine.com/category/medical-specialties/rheumatology/rheumatoid-arthritis/celecoxib/" TargetMode="External"/><Relationship Id="rId32" Type="http://schemas.openxmlformats.org/officeDocument/2006/relationships/hyperlink" Target="http://www.discoverymedicine.com/category/medical-specialties/rheumatology/rheumatoid-arthritis/celebrex/" TargetMode="External"/><Relationship Id="rId9" Type="http://schemas.openxmlformats.org/officeDocument/2006/relationships/hyperlink" Target="http://www.discoverymedicine.com/Michael-Dickson/?p=2&amp;akst_action=share-this" TargetMode="External"/><Relationship Id="rId6" Type="http://schemas.openxmlformats.org/officeDocument/2006/relationships/hyperlink" Target="http://www.discoverymedicine.com/Michael-Dickson/2009/06/20/the-cost-of-new-drug-discovery-and-development/" TargetMode="External"/><Relationship Id="rId7" Type="http://schemas.openxmlformats.org/officeDocument/2006/relationships/hyperlink" Target="http://www.discoverymedicine.com/Michael-Dickson/" TargetMode="External"/><Relationship Id="rId8" Type="http://schemas.openxmlformats.org/officeDocument/2006/relationships/hyperlink" Target="http://www.discoverymedicine.com/Jean-P-Gagnon/" TargetMode="External"/><Relationship Id="rId33" Type="http://schemas.openxmlformats.org/officeDocument/2006/relationships/image" Target="media/image4.jpeg"/><Relationship Id="rId34" Type="http://schemas.openxmlformats.org/officeDocument/2006/relationships/image" Target="media/image5.jpeg"/><Relationship Id="rId35" Type="http://schemas.openxmlformats.org/officeDocument/2006/relationships/hyperlink" Target="http://www.discoverymedicine.com/category/therapeutic-technology-and-methodology/therapy/pharmacotherapy/" TargetMode="External"/><Relationship Id="rId36" Type="http://schemas.openxmlformats.org/officeDocument/2006/relationships/hyperlink" Target="http://www.discoverymedicine.com/tag/life-expectancy/" TargetMode="External"/><Relationship Id="rId10" Type="http://schemas.openxmlformats.org/officeDocument/2006/relationships/hyperlink" Target="http://www.discoverymedicine.com/Michael-Dickson/?p=2&amp;akst_action=share-this" TargetMode="External"/><Relationship Id="rId11" Type="http://schemas.openxmlformats.org/officeDocument/2006/relationships/hyperlink" Target="http://www.discoverymedicine.com/Michael-Dickson/?p=2&amp;akst_action=share-this" TargetMode="External"/><Relationship Id="rId12" Type="http://schemas.openxmlformats.org/officeDocument/2006/relationships/hyperlink" Target="http://www.discoverymedicine.com/category/medical-specialties/drug-discovery-medical-specialties/" TargetMode="External"/><Relationship Id="rId13" Type="http://schemas.openxmlformats.org/officeDocument/2006/relationships/hyperlink" Target="http://www.discoverymedicine.com/category/medical-specialties/cardiology-and-circulation/cardiovascular-disease/" TargetMode="External"/><Relationship Id="rId14" Type="http://schemas.openxmlformats.org/officeDocument/2006/relationships/hyperlink" Target="http://www.discoverymedicine.com/category/medical-specialties/neurology/stroke/" TargetMode="External"/><Relationship Id="rId15" Type="http://schemas.openxmlformats.org/officeDocument/2006/relationships/hyperlink" Target="http://www.discoverymedicine.com/category/medical-specialties/oncology/multiple-myeloma/thalidomide/" TargetMode="External"/><Relationship Id="rId16" Type="http://schemas.openxmlformats.org/officeDocument/2006/relationships/hyperlink" Target="http://www.discoverymedicine.com/category/medical-specialties/cardiology-and-circulation/atrial-fibrillation/antiarrhythmic-drug/digoxin/" TargetMode="External"/><Relationship Id="rId17" Type="http://schemas.openxmlformats.org/officeDocument/2006/relationships/hyperlink" Target="http://www.discoverymedicine.com/category/medical-specialties/cardiology-and-circulation/hypercholesterolemia/statins/" TargetMode="External"/><Relationship Id="rId18" Type="http://schemas.openxmlformats.org/officeDocument/2006/relationships/hyperlink" Target="http://www.discoverymedicine.com/category/therapeutic-technology-and-methodology/therapy/small-molecule-drug/hiv/" TargetMode="External"/><Relationship Id="rId19" Type="http://schemas.openxmlformats.org/officeDocument/2006/relationships/hyperlink" Target="http://www.discoverymedicine.com/category/medical-specialties/infectious-diseases/aids/" TargetMode="External"/><Relationship Id="rId37" Type="http://schemas.openxmlformats.org/officeDocument/2006/relationships/hyperlink" Target="http://www.discoverymedicine.com/category/therapeutic-technology-and-methodology/therapy/small-molecule-drug/antibiotics/" TargetMode="External"/><Relationship Id="rId38" Type="http://schemas.openxmlformats.org/officeDocument/2006/relationships/hyperlink" Target="http://www.discoverymedicine.com/tag/drug-discovery/" TargetMode="External"/><Relationship Id="rId39" Type="http://schemas.openxmlformats.org/officeDocument/2006/relationships/hyperlink" Target="http://www.discoverymedicine.com/category/medical-specialties/pharmacology/clinical-pharmacology/" TargetMode="External"/><Relationship Id="rId40" Type="http://schemas.openxmlformats.org/officeDocument/2006/relationships/hyperlink" Target="http://www.discoverymedicine.com/Fredric-J-Cohen/2009/07/17/macro-trends-in-pharmaceutical-innovation/" TargetMode="External"/><Relationship Id="rId41" Type="http://schemas.openxmlformats.org/officeDocument/2006/relationships/hyperlink" Target="http://www.discoverymedicine.com/Anne-R-Pariser/2011/04/21/regulatory-considerations-for-developing-drugs-for-rare-diseases-orphan-designations-and-early-phase-clinical-trials/" TargetMode="External"/><Relationship Id="rId42" Type="http://schemas.openxmlformats.org/officeDocument/2006/relationships/hyperlink" Target="http://www.discoverymedicine.com/Roland-B-Stoughton/2009/07/25/how-molecular-profiling-is-transforming-drug-discovery/" TargetMode="External"/><Relationship Id="rId43" Type="http://schemas.openxmlformats.org/officeDocument/2006/relationships/hyperlink" Target="http://www.discoverymedicine.com/Ibis-Sanchez-serrano/2009/07/26/translational-research-in-the-development-of-bortezomib-a-core-model/" TargetMode="External"/><Relationship Id="rId44" Type="http://schemas.openxmlformats.org/officeDocument/2006/relationships/hyperlink" Target="http://www.discoverymedicine.com/Benjamin-Yang/2009/06/17/fda-issues-guidance-on-pharmacogenomics-data/" TargetMode="External"/><Relationship Id="rId45" Type="http://schemas.openxmlformats.org/officeDocument/2006/relationships/hyperlink" Target="http://www.discoverymedicine.com/Benjamin-Yang/2009/05/25/industry-trends-pacing-discoveries-traditional-lab-work-vs-high-tech-machi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4438</Words>
  <Characters>25298</Characters>
  <Application>Microsoft Macintosh Word</Application>
  <DocSecurity>0</DocSecurity>
  <Lines>210</Lines>
  <Paragraphs>59</Paragraphs>
  <ScaleCrop>false</ScaleCrop>
  <Company/>
  <LinksUpToDate>false</LinksUpToDate>
  <CharactersWithSpaces>29677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Cankat Tulunay</dc:creator>
  <cp:keywords/>
  <dc:description/>
  <cp:lastModifiedBy>F. Cankat Tulunay</cp:lastModifiedBy>
  <cp:revision>1</cp:revision>
  <dcterms:created xsi:type="dcterms:W3CDTF">2013-04-04T17:03:00Z</dcterms:created>
  <dcterms:modified xsi:type="dcterms:W3CDTF">2013-04-04T17:10:00Z</dcterms:modified>
</cp:coreProperties>
</file>